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C5217">
      <w:pPr>
        <w:ind w:firstLine="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</w:p>
    <w:p w14:paraId="6A406F07">
      <w:pPr>
        <w:ind w:firstLine="0"/>
        <w:jc w:val="center"/>
        <w:rPr>
          <w:b/>
        </w:rPr>
      </w:pPr>
      <w:r>
        <w:rPr>
          <w:b/>
        </w:rPr>
        <w:t>«</w:t>
      </w:r>
      <w:r>
        <w:rPr>
          <w:rFonts w:eastAsia="Times New Roman" w:cs="Times New Roman"/>
          <w:b/>
          <w:szCs w:val="28"/>
          <w:lang w:eastAsia="ru-RU"/>
        </w:rPr>
        <w:t>Нормативно-техническая документация в материаловедении</w:t>
      </w:r>
      <w:r>
        <w:rPr>
          <w:b/>
        </w:rPr>
        <w:t>»</w:t>
      </w:r>
    </w:p>
    <w:p w14:paraId="44F040A6">
      <w:pPr>
        <w:rPr>
          <w:sz w:val="24"/>
        </w:rPr>
      </w:pPr>
    </w:p>
    <w:p w14:paraId="4FED09BA">
      <w:pPr>
        <w:rPr>
          <w:b/>
        </w:rPr>
      </w:pPr>
      <w:r>
        <w:rPr>
          <w:b/>
        </w:rPr>
        <w:t>Задания закрытого типа</w:t>
      </w:r>
    </w:p>
    <w:p w14:paraId="539B1436">
      <w:pPr>
        <w:rPr>
          <w:b/>
          <w:sz w:val="24"/>
        </w:rPr>
      </w:pPr>
    </w:p>
    <w:p w14:paraId="7F634E2E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022FCD50">
      <w:pPr>
        <w:rPr>
          <w:b/>
          <w:sz w:val="24"/>
        </w:rPr>
      </w:pPr>
    </w:p>
    <w:p w14:paraId="1FBB3080">
      <w:pPr>
        <w:rPr>
          <w:i/>
        </w:rPr>
      </w:pPr>
      <w:r>
        <w:rPr>
          <w:i/>
        </w:rPr>
        <w:t>Выберите один правильный ответ</w:t>
      </w:r>
    </w:p>
    <w:p w14:paraId="54545830">
      <w:pPr>
        <w:rPr>
          <w:i/>
          <w:sz w:val="24"/>
        </w:rPr>
      </w:pPr>
    </w:p>
    <w:p w14:paraId="20AF11CD">
      <w:r>
        <w:t>1. Дайте определение «Атрибут документа», как одного из терминов научно-технической документации в материаловедении</w:t>
      </w:r>
    </w:p>
    <w:p w14:paraId="3C37E0F2">
      <w:pPr>
        <w:widowControl w:val="0"/>
        <w:spacing w:after="40"/>
        <w:rPr>
          <w:szCs w:val="28"/>
          <w:lang w:eastAsia="ru-RU"/>
        </w:rPr>
      </w:pPr>
      <w:r>
        <w:rPr>
          <w:szCs w:val="28"/>
          <w:lang w:eastAsia="ru-RU"/>
        </w:rPr>
        <w:t>А)</w:t>
      </w:r>
      <w:r>
        <w:rPr>
          <w:rFonts w:eastAsia="Times New Roman" w:cs="Times New Roman"/>
          <w:kern w:val="0"/>
          <w:szCs w:val="28"/>
          <w:lang w:eastAsia="ru-RU" w:bidi="ru-RU"/>
          <w14:ligatures w14:val="none"/>
        </w:rPr>
        <w:t xml:space="preserve"> – </w:t>
      </w:r>
      <w:r>
        <w:rPr>
          <w:rFonts w:cs="Times New Roman"/>
          <w:szCs w:val="28"/>
        </w:rPr>
        <w:t>реквизит документа, представляющий собой его идентификацион-ный (различительный) индекс</w:t>
      </w:r>
    </w:p>
    <w:p w14:paraId="46BD72F7">
      <w:pPr>
        <w:pStyle w:val="24"/>
        <w:shd w:val="clear" w:color="auto" w:fill="FFFFFF"/>
        <w:spacing w:before="0" w:beforeAutospacing="0" w:after="0" w:afterAutospacing="0"/>
        <w:ind w:firstLine="720"/>
        <w:jc w:val="both"/>
        <w:rPr>
          <w:szCs w:val="28"/>
        </w:rPr>
      </w:pPr>
      <w:r>
        <w:rPr>
          <w:szCs w:val="28"/>
        </w:rPr>
        <w:t>Б)</w:t>
      </w:r>
      <w:r>
        <w:rPr>
          <w:szCs w:val="28"/>
          <w:lang w:bidi="ru-RU"/>
        </w:rPr>
        <w:t xml:space="preserve"> – </w:t>
      </w:r>
      <w:r>
        <w:rPr>
          <w:sz w:val="28"/>
          <w:szCs w:val="28"/>
        </w:rPr>
        <w:t>идентифицированная (именованная) характеристика части рекви-зита</w:t>
      </w:r>
    </w:p>
    <w:p w14:paraId="6CF03968">
      <w:pPr>
        <w:pStyle w:val="2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Cs w:val="28"/>
        </w:rPr>
        <w:t>В)</w:t>
      </w:r>
      <w:r>
        <w:rPr>
          <w:szCs w:val="28"/>
          <w:lang w:bidi="ru-RU"/>
        </w:rPr>
        <w:t xml:space="preserve"> – </w:t>
      </w:r>
      <w:r>
        <w:rPr>
          <w:sz w:val="28"/>
          <w:szCs w:val="28"/>
        </w:rPr>
        <w:t>совокупность представленных в электронном виде документов, графических и неграфических данных по изделию</w:t>
      </w:r>
    </w:p>
    <w:p w14:paraId="56D73627">
      <w:pPr>
        <w:pStyle w:val="10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>
        <w:rPr>
          <w:rFonts w:cs="Times New Roman"/>
          <w:szCs w:val="28"/>
          <w:lang w:eastAsia="ru-RU"/>
        </w:rPr>
        <w:t>–</w:t>
      </w:r>
      <w:r>
        <w:rPr>
          <w:rFonts w:cs="Times New Roman"/>
          <w:szCs w:val="28"/>
          <w:shd w:val="clear" w:color="auto" w:fill="FFFFFF"/>
        </w:rPr>
        <w:t xml:space="preserve"> </w:t>
      </w:r>
      <w:r>
        <w:rPr>
          <w:rFonts w:cs="Times New Roman"/>
          <w:szCs w:val="28"/>
        </w:rPr>
        <w:t>совокупность сведений о проектном документе, содержащихся в графах таблицы установленной формы, помещаемой на листах проектной и рабочей документации</w:t>
      </w:r>
    </w:p>
    <w:p w14:paraId="3E0E225C">
      <w:pPr>
        <w:pStyle w:val="10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Д)</w:t>
      </w:r>
      <w:r>
        <w:rPr>
          <w:rFonts w:cs="Times New Roman"/>
          <w:szCs w:val="28"/>
          <w:shd w:val="clear" w:color="auto" w:fill="FFFFFF"/>
        </w:rPr>
        <w:t xml:space="preserve"> –</w:t>
      </w:r>
      <w:r>
        <w:rPr>
          <w:szCs w:val="28"/>
          <w:lang w:eastAsia="ru-RU"/>
        </w:rPr>
        <w:t xml:space="preserve"> </w:t>
      </w:r>
      <w:r>
        <w:rPr>
          <w:rFonts w:cs="Times New Roman"/>
          <w:szCs w:val="28"/>
          <w:lang w:val="ru-RU"/>
        </w:rPr>
        <w:t>с</w:t>
      </w:r>
      <w:r>
        <w:rPr>
          <w:rFonts w:cs="Times New Roman"/>
          <w:szCs w:val="28"/>
        </w:rPr>
        <w:t>овокупность одного или нескольких электронных документов, служащих для перемещения заключённой в нём информации</w:t>
      </w:r>
    </w:p>
    <w:p w14:paraId="14CA5B01">
      <w:r>
        <w:t>Правильный ответ: Б</w:t>
      </w:r>
    </w:p>
    <w:p w14:paraId="0CC617EE">
      <w:r>
        <w:t>Компетенции (индикаторы): ОПК-2</w:t>
      </w:r>
    </w:p>
    <w:p w14:paraId="2C65A8C0">
      <w:pPr>
        <w:rPr>
          <w:sz w:val="24"/>
        </w:rPr>
      </w:pPr>
    </w:p>
    <w:p w14:paraId="0ACEA1EA">
      <w:pPr>
        <w:pStyle w:val="10"/>
        <w:tabs>
          <w:tab w:val="left" w:pos="708"/>
        </w:tabs>
        <w:rPr>
          <w:szCs w:val="28"/>
          <w:lang w:eastAsia="ru-RU"/>
        </w:rPr>
      </w:pPr>
      <w:r>
        <w:t>2. Какое смысловое определение документа «Спецификация оборудования, изделий и материалов» в нормативно-технической документации в материаловедении</w:t>
      </w:r>
    </w:p>
    <w:p w14:paraId="342631E6">
      <w:pPr>
        <w:widowControl w:val="0"/>
        <w:spacing w:after="40"/>
        <w:rPr>
          <w:szCs w:val="28"/>
          <w:lang w:eastAsia="ru-RU"/>
        </w:rPr>
      </w:pPr>
      <w:bookmarkStart w:id="0" w:name="_Hlk191136854"/>
      <w:r>
        <w:rPr>
          <w:szCs w:val="28"/>
          <w:lang w:eastAsia="ru-RU"/>
        </w:rPr>
        <w:t>А)</w:t>
      </w:r>
      <w:r>
        <w:rPr>
          <w:rFonts w:eastAsia="Times New Roman" w:cs="Times New Roman"/>
          <w:kern w:val="0"/>
          <w:szCs w:val="28"/>
          <w:lang w:eastAsia="ru-RU" w:bidi="ru-RU"/>
          <w14:ligatures w14:val="none"/>
        </w:rPr>
        <w:t xml:space="preserve"> </w:t>
      </w:r>
      <w:r>
        <w:rPr>
          <w:rFonts w:cs="Times New Roman"/>
          <w:szCs w:val="28"/>
        </w:rPr>
        <w:t>информация в электронной форме, присоединённая к электронному документу или иным образом связанная с ним и позволяющая идентифицировать лицо, подписавшее электронный документ</w:t>
      </w:r>
    </w:p>
    <w:p w14:paraId="38551E9F">
      <w:pPr>
        <w:pStyle w:val="10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Б)</w:t>
      </w:r>
      <w:r>
        <w:rPr>
          <w:szCs w:val="28"/>
          <w:lang w:eastAsia="ru-RU" w:bidi="ru-RU"/>
        </w:rPr>
        <w:t> </w:t>
      </w:r>
      <w:r>
        <w:rPr>
          <w:rFonts w:cs="Times New Roman"/>
          <w:szCs w:val="28"/>
        </w:rPr>
        <w:t>документ, предназначенный для изготовления металлических конструкций, изделий и узлов, на который дана ссылка в основном комплекте рабочих чертежей и который в соответствии с установленным порядком не передаётся заказчику</w:t>
      </w:r>
    </w:p>
    <w:p w14:paraId="0F8AADC5">
      <w:pPr>
        <w:rPr>
          <w:rFonts w:cs="Times New Roman"/>
          <w:szCs w:val="28"/>
          <w:shd w:val="clear" w:color="auto" w:fill="FFFFFF"/>
        </w:rPr>
      </w:pPr>
      <w:r>
        <w:rPr>
          <w:szCs w:val="28"/>
          <w:lang w:eastAsia="ru-RU"/>
        </w:rPr>
        <w:t>В)</w:t>
      </w:r>
      <w:r>
        <w:rPr>
          <w:szCs w:val="28"/>
          <w:lang w:eastAsia="ru-RU" w:bidi="ru-RU"/>
        </w:rPr>
        <w:t xml:space="preserve"> </w:t>
      </w:r>
      <w:r>
        <w:rPr>
          <w:rFonts w:cs="Times New Roman"/>
          <w:szCs w:val="28"/>
        </w:rPr>
        <w:t>текстовый проектный документ, определяющий состав оборудования, изделий и материалов и предназначенный для комплектования, подготовки и осуществления производства изделий</w:t>
      </w:r>
    </w:p>
    <w:p w14:paraId="6019BBD4">
      <w:pPr>
        <w:pStyle w:val="10"/>
        <w:tabs>
          <w:tab w:val="left" w:pos="708"/>
        </w:tabs>
        <w:spacing w:line="276" w:lineRule="auto"/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>
        <w:rPr>
          <w:rFonts w:cs="Times New Roman"/>
          <w:szCs w:val="28"/>
        </w:rPr>
        <w:t>технологическое оборудование (машины, аппараты, механизмы, грузоподъёмные и другие технические средства, обеспечивающие соответствующий технологический процесс), а также инженерное оборудование зданий и сооружений</w:t>
      </w:r>
    </w:p>
    <w:p w14:paraId="144A6304">
      <w:pPr>
        <w:pStyle w:val="10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Д)</w:t>
      </w:r>
      <w:r>
        <w:rPr>
          <w:rFonts w:cs="Times New Roman"/>
          <w:szCs w:val="28"/>
          <w:shd w:val="clear" w:color="auto" w:fill="FFFFFF"/>
        </w:rPr>
        <w:t xml:space="preserve"> </w:t>
      </w:r>
      <w:r>
        <w:rPr>
          <w:rFonts w:cs="Times New Roman"/>
          <w:szCs w:val="28"/>
          <w:lang w:val="ru-RU"/>
        </w:rPr>
        <w:t>с</w:t>
      </w:r>
      <w:r>
        <w:rPr>
          <w:rFonts w:cs="Times New Roman"/>
          <w:szCs w:val="28"/>
        </w:rPr>
        <w:t>овокупность одного или нескольких электронных документов, служащих для перемещения заключённой в нём информации</w:t>
      </w:r>
    </w:p>
    <w:p w14:paraId="6117CD11">
      <w:r>
        <w:t>Правильный ответ: В</w:t>
      </w:r>
    </w:p>
    <w:bookmarkEnd w:id="0"/>
    <w:p w14:paraId="594838D8">
      <w:r>
        <w:t>Компетенции (индикаторы): ОПК-2</w:t>
      </w:r>
    </w:p>
    <w:p w14:paraId="42B9AC2E">
      <w:pPr>
        <w:rPr>
          <w:sz w:val="24"/>
        </w:rPr>
      </w:pPr>
    </w:p>
    <w:p w14:paraId="680F4842">
      <w:pPr>
        <w:rPr>
          <w:spacing w:val="-10"/>
        </w:rPr>
      </w:pPr>
      <w:r>
        <w:rPr>
          <w:szCs w:val="28"/>
        </w:rPr>
        <w:t>3.</w:t>
      </w:r>
      <w:r>
        <w:t xml:space="preserve"> Какое смысловое определение документа «</w:t>
      </w:r>
      <w:r>
        <w:rPr>
          <w:rStyle w:val="8"/>
          <w:rFonts w:cs="Times New Roman"/>
          <w:b w:val="0"/>
          <w:bCs w:val="0"/>
          <w:szCs w:val="28"/>
        </w:rPr>
        <w:t>Основной комплект рабочих</w:t>
      </w:r>
      <w:r>
        <w:rPr>
          <w:rStyle w:val="8"/>
          <w:rFonts w:ascii="Arial" w:hAnsi="Arial" w:cs="Arial"/>
          <w:sz w:val="21"/>
          <w:szCs w:val="21"/>
        </w:rPr>
        <w:t xml:space="preserve"> </w:t>
      </w:r>
      <w:r>
        <w:rPr>
          <w:rStyle w:val="8"/>
          <w:rFonts w:cs="Times New Roman"/>
          <w:b w:val="0"/>
          <w:bCs w:val="0"/>
          <w:szCs w:val="28"/>
        </w:rPr>
        <w:t>чертежей</w:t>
      </w:r>
      <w:r>
        <w:t>» в нормативно-технической документации в материаловедении</w:t>
      </w:r>
      <w:r>
        <w:rPr>
          <w:szCs w:val="28"/>
        </w:rPr>
        <w:t>.</w:t>
      </w:r>
    </w:p>
    <w:p w14:paraId="2D540D3B">
      <w:pPr>
        <w:rPr>
          <w:spacing w:val="-2"/>
          <w:szCs w:val="28"/>
        </w:rPr>
      </w:pPr>
      <w:r>
        <w:rPr>
          <w:spacing w:val="-2"/>
          <w:szCs w:val="28"/>
        </w:rPr>
        <w:t xml:space="preserve">А) </w:t>
      </w:r>
      <w:r>
        <w:rPr>
          <w:rFonts w:cs="Times New Roman"/>
          <w:szCs w:val="28"/>
        </w:rPr>
        <w:t>проставление необходимых реквизитов и атрибутов в комплекте рабочих чертежей, установленных правилами документирования</w:t>
      </w:r>
    </w:p>
    <w:p w14:paraId="0C8C5093">
      <w:pPr>
        <w:autoSpaceDE w:val="0"/>
        <w:autoSpaceDN w:val="0"/>
        <w:adjustRightInd w:val="0"/>
        <w:rPr>
          <w:rFonts w:cs="Times New Roman"/>
          <w:spacing w:val="-2"/>
          <w:szCs w:val="28"/>
        </w:rPr>
      </w:pPr>
      <w:r>
        <w:rPr>
          <w:spacing w:val="-2"/>
          <w:szCs w:val="28"/>
        </w:rPr>
        <w:t>Б)</w:t>
      </w:r>
      <w:r>
        <w:rPr>
          <w:rFonts w:eastAsia="TimesNewRoman" w:cs="Times New Roman"/>
          <w:kern w:val="0"/>
          <w:szCs w:val="28"/>
          <w14:ligatures w14:val="none"/>
        </w:rPr>
        <w:t xml:space="preserve"> </w:t>
      </w:r>
      <w:r>
        <w:rPr>
          <w:rFonts w:cs="Times New Roman"/>
          <w:szCs w:val="28"/>
        </w:rPr>
        <w:t>совокупность сведений о проектном документе, содержащихся в графах таблицы установленной формы, помещаемой на листах проектной и рабочей документации</w:t>
      </w:r>
    </w:p>
    <w:p w14:paraId="25109B7C">
      <w:pPr>
        <w:rPr>
          <w:spacing w:val="-2"/>
          <w:szCs w:val="28"/>
        </w:rPr>
      </w:pPr>
      <w:r>
        <w:rPr>
          <w:spacing w:val="-2"/>
          <w:szCs w:val="28"/>
        </w:rPr>
        <w:t>В)</w:t>
      </w:r>
      <w:r>
        <w:rPr>
          <w:rFonts w:cs="Times New Roman"/>
          <w:spacing w:val="-2"/>
          <w:szCs w:val="28"/>
        </w:rPr>
        <w:t xml:space="preserve"> </w:t>
      </w:r>
      <w:r>
        <w:rPr>
          <w:rFonts w:cs="Times New Roman"/>
          <w:szCs w:val="28"/>
        </w:rPr>
        <w:t>совокупность одного или нескольких электронных документов, служащих для перемещения заключённой в нём информации</w:t>
      </w:r>
    </w:p>
    <w:p w14:paraId="7456FFDF">
      <w:pPr>
        <w:rPr>
          <w:spacing w:val="-2"/>
          <w:szCs w:val="28"/>
        </w:rPr>
      </w:pPr>
      <w:r>
        <w:rPr>
          <w:spacing w:val="-2"/>
          <w:szCs w:val="28"/>
        </w:rPr>
        <w:t xml:space="preserve">Г) </w:t>
      </w:r>
      <w:bookmarkStart w:id="1" w:name="_Hlk191102732"/>
      <w:r>
        <w:rPr>
          <w:rFonts w:cs="Times New Roman"/>
          <w:szCs w:val="28"/>
        </w:rPr>
        <w:t>графический документ, содержащий необходимую и достаточную информацию в виде чертежей и схем, предназначенный для производства строительных и монтажных работ определённого вида (марки)</w:t>
      </w:r>
    </w:p>
    <w:bookmarkEnd w:id="1"/>
    <w:p w14:paraId="32E95FC8">
      <w:pPr>
        <w:rPr>
          <w:szCs w:val="28"/>
        </w:rPr>
      </w:pPr>
      <w:r>
        <w:rPr>
          <w:szCs w:val="28"/>
        </w:rPr>
        <w:t xml:space="preserve">Д) </w:t>
      </w:r>
      <w:r>
        <w:rPr>
          <w:rFonts w:cs="Times New Roman"/>
          <w:szCs w:val="28"/>
        </w:rPr>
        <w:t>реквизит документа, представляющий собой его идентификационный (различительный) индекс</w:t>
      </w:r>
    </w:p>
    <w:p w14:paraId="426BCB56">
      <w:r>
        <w:t>Правильный ответ: Г</w:t>
      </w:r>
    </w:p>
    <w:p w14:paraId="7EE0F13D">
      <w:r>
        <w:t>Компетенции (индикаторы): ОПК-2</w:t>
      </w:r>
    </w:p>
    <w:p w14:paraId="3805B131">
      <w:pPr>
        <w:rPr>
          <w:sz w:val="24"/>
        </w:rPr>
      </w:pPr>
    </w:p>
    <w:p w14:paraId="4D6B7D11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14:paraId="2FA9CDF8">
      <w:pPr>
        <w:rPr>
          <w:i/>
          <w:sz w:val="24"/>
        </w:rPr>
      </w:pPr>
    </w:p>
    <w:p w14:paraId="2020408C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105903D8">
      <w:pPr>
        <w:rPr>
          <w:sz w:val="24"/>
        </w:rPr>
      </w:pPr>
    </w:p>
    <w:p w14:paraId="07271F16">
      <w:pPr>
        <w:rPr>
          <w:rFonts w:cs="Times New Roman"/>
          <w:szCs w:val="28"/>
        </w:rPr>
      </w:pPr>
      <w:r>
        <w:t xml:space="preserve">1. Установите соответствие принципов технического регулирования в соответствии со СТ. </w:t>
      </w:r>
      <w:r>
        <w:rPr>
          <w:rFonts w:cs="Times New Roman"/>
          <w:szCs w:val="28"/>
        </w:rPr>
        <w:t xml:space="preserve">3 </w:t>
      </w:r>
      <w:r>
        <w:rPr>
          <w:rStyle w:val="25"/>
          <w:rFonts w:ascii="Times New Roman" w:hAnsi="Times New Roman" w:cs="Times New Roman"/>
          <w:color w:val="auto"/>
          <w:sz w:val="28"/>
          <w:szCs w:val="28"/>
        </w:rPr>
        <w:t>Федерального закона «О техническом регулировании» от 27 декабря 2002 года</w:t>
      </w:r>
      <w:r>
        <w:rPr>
          <w:rFonts w:cs="Times New Roman"/>
          <w:szCs w:val="28"/>
        </w:rPr>
        <w:t xml:space="preserve"> </w:t>
      </w:r>
    </w:p>
    <w:tbl>
      <w:tblPr>
        <w:tblStyle w:val="1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4"/>
        <w:gridCol w:w="4787"/>
      </w:tblGrid>
      <w:tr w14:paraId="41E96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02E040AC">
            <w:pPr>
              <w:ind w:firstLine="142"/>
            </w:pPr>
            <w:r>
              <w:t>1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) </w:t>
            </w:r>
            <w:r>
              <w:rPr>
                <w:rStyle w:val="25"/>
                <w:rFonts w:ascii="Times New Roman" w:hAnsi="Times New Roman" w:cs="Times New Roman"/>
                <w:color w:val="auto"/>
                <w:sz w:val="28"/>
                <w:szCs w:val="28"/>
              </w:rPr>
              <w:t>применения единых правил уста-новления требований к продукции или к продукции и связанным с требованиями к продукции процес-сам проектирования (включая изыс-кания), производства, строительства, монтажа, наладки, эксплуатации, хранения, перевозки, реализации и утилизации, выполнению работ или оказанию услуг</w:t>
            </w:r>
          </w:p>
        </w:tc>
        <w:tc>
          <w:tcPr>
            <w:tcW w:w="4787" w:type="dxa"/>
          </w:tcPr>
          <w:p w14:paraId="701DCA5E">
            <w:pPr>
              <w:ind w:firstLine="0"/>
            </w:pPr>
            <w:r>
              <w:t>А) п</w:t>
            </w:r>
            <w:r>
              <w:rPr>
                <w:rStyle w:val="25"/>
                <w:rFonts w:ascii="Times New Roman" w:hAnsi="Times New Roman" w:cs="Times New Roman"/>
                <w:color w:val="auto"/>
                <w:sz w:val="28"/>
                <w:szCs w:val="28"/>
              </w:rPr>
              <w:t>од независимостью органов по аккредитации, органов по сертификации от изготовителей продукции, продавцов, исполнителей работ и услуг, приобретателей продукции следует понимать отсутствие организационной, административной, экономической, финансовой или любой иной формы зависимости. Независимость указанных органов является необходимым условием их аккредитации</w:t>
            </w:r>
          </w:p>
        </w:tc>
      </w:tr>
      <w:tr w14:paraId="735D9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4952B478">
            <w:pPr>
              <w:ind w:firstLine="284"/>
            </w:pPr>
            <w:r>
              <w:t xml:space="preserve">2) </w:t>
            </w:r>
            <w:r>
              <w:rPr>
                <w:rStyle w:val="25"/>
                <w:rFonts w:ascii="Times New Roman" w:hAnsi="Times New Roman" w:cs="Times New Roman"/>
                <w:color w:val="auto"/>
                <w:sz w:val="28"/>
                <w:szCs w:val="28"/>
              </w:rPr>
              <w:t>независимости органов по акк-редитации, органов по сертификации от изготовителей, продавцов, исполнителей и приобретателей, в том числе потребителей</w:t>
            </w:r>
          </w:p>
        </w:tc>
        <w:tc>
          <w:tcPr>
            <w:tcW w:w="4787" w:type="dxa"/>
          </w:tcPr>
          <w:p w14:paraId="4A71307A">
            <w:pPr>
              <w:shd w:val="clear" w:color="auto" w:fill="FFFFFF"/>
              <w:ind w:firstLine="0"/>
            </w:pPr>
            <w:r>
              <w:t>Б)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п</w:t>
            </w:r>
            <w:r>
              <w:rPr>
                <w:rStyle w:val="25"/>
                <w:rFonts w:ascii="Times New Roman" w:hAnsi="Times New Roman" w:cs="Times New Roman"/>
                <w:color w:val="auto"/>
                <w:sz w:val="28"/>
                <w:szCs w:val="28"/>
              </w:rPr>
              <w:t>ринцип единства правил установления требований к объектам, на которые утверждаются обязательные требования, и к объектам, на которые устанавливаются рекомендуемые требования, является необходимым условием возможности включения в технические регламенты требований, разработанных в процессе стандартизации. Единые правила установления требований должны обеспечить сов-местимость самих требований и форм их изложения в технических регламентах и документах в области стандартизации</w:t>
            </w:r>
          </w:p>
        </w:tc>
      </w:tr>
      <w:tr w14:paraId="049BB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7EADAB12">
            <w:pPr>
              <w:ind w:firstLine="284"/>
              <w:jc w:val="left"/>
            </w:pPr>
            <w:r>
              <w:t xml:space="preserve">3) </w:t>
            </w:r>
            <w:r>
              <w:rPr>
                <w:rStyle w:val="25"/>
                <w:rFonts w:ascii="Times New Roman" w:hAnsi="Times New Roman" w:cs="Times New Roman"/>
                <w:color w:val="auto"/>
                <w:sz w:val="28"/>
                <w:szCs w:val="28"/>
              </w:rPr>
              <w:t>единой системы и правил аккредитации</w:t>
            </w:r>
          </w:p>
        </w:tc>
        <w:tc>
          <w:tcPr>
            <w:tcW w:w="4787" w:type="dxa"/>
          </w:tcPr>
          <w:p w14:paraId="6788C287">
            <w:pPr>
              <w:ind w:firstLine="0"/>
            </w:pPr>
            <w:r>
              <w:t>В) т</w:t>
            </w:r>
            <w:r>
              <w:rPr>
                <w:rStyle w:val="25"/>
                <w:rFonts w:ascii="Times New Roman" w:hAnsi="Times New Roman" w:cs="Times New Roman"/>
                <w:color w:val="auto"/>
                <w:sz w:val="28"/>
                <w:szCs w:val="28"/>
              </w:rPr>
              <w:t>ехнический регламент, в соответствии с уровнем органов его принимающих, имеет общеобязательную силу на всей территории РФ, для всех физических и юридических лиц независимо от характера и вида правоотношений, возникающих между ними. Технические регламенты будут применяться в основном в двусторонних и многосторонних сделках, т. е. в договорах. Условия отражения требований технических регламентов в договорах должны определяться в соответствии с ГК и другими законами РФ</w:t>
            </w:r>
          </w:p>
        </w:tc>
      </w:tr>
      <w:tr w14:paraId="64AB6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1359C6D9">
            <w:pPr>
              <w:ind w:firstLine="284"/>
            </w:pPr>
            <w:r>
              <w:t xml:space="preserve">4) </w:t>
            </w:r>
            <w:r>
              <w:rPr>
                <w:rStyle w:val="25"/>
                <w:rFonts w:ascii="Times New Roman" w:hAnsi="Times New Roman" w:cs="Times New Roman"/>
                <w:color w:val="auto"/>
                <w:sz w:val="28"/>
                <w:szCs w:val="28"/>
              </w:rPr>
              <w:t>единства правил и методов исследований (испытаний) и измерений при проведении процедур обязательной оценки соответствия</w:t>
            </w:r>
          </w:p>
        </w:tc>
        <w:tc>
          <w:tcPr>
            <w:tcW w:w="4787" w:type="dxa"/>
          </w:tcPr>
          <w:p w14:paraId="762E2E19">
            <w:pPr>
              <w:ind w:firstLine="0"/>
            </w:pPr>
            <w:r>
              <w:t>Г) е</w:t>
            </w:r>
            <w:r>
              <w:rPr>
                <w:rStyle w:val="25"/>
                <w:rFonts w:ascii="Times New Roman" w:hAnsi="Times New Roman" w:cs="Times New Roman"/>
                <w:color w:val="auto"/>
                <w:sz w:val="28"/>
                <w:szCs w:val="28"/>
              </w:rPr>
              <w:t>динство системы и правил аккредитации обеспечивается их утверждением Правительством РФ на основе принципов, установленных законом</w:t>
            </w:r>
          </w:p>
        </w:tc>
      </w:tr>
      <w:tr w14:paraId="14AFB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1EE4F8AF">
            <w:pPr>
              <w:ind w:firstLine="284"/>
            </w:pPr>
            <w:r>
              <w:t>5)</w:t>
            </w:r>
            <w:r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Style w:val="25"/>
                <w:rFonts w:ascii="Times New Roman" w:hAnsi="Times New Roman" w:cs="Times New Roman"/>
                <w:color w:val="auto"/>
                <w:sz w:val="28"/>
                <w:szCs w:val="28"/>
              </w:rPr>
              <w:t>единства применения требований технических регламентов независимо от видов или особенностей сделок</w:t>
            </w:r>
          </w:p>
        </w:tc>
        <w:tc>
          <w:tcPr>
            <w:tcW w:w="4787" w:type="dxa"/>
          </w:tcPr>
          <w:p w14:paraId="512507F9">
            <w:pPr>
              <w:ind w:firstLine="0"/>
            </w:pPr>
            <w:r>
              <w:t xml:space="preserve">Д) </w:t>
            </w:r>
            <w:r>
              <w:rPr>
                <w:rStyle w:val="25"/>
                <w:rFonts w:ascii="Times New Roman" w:hAnsi="Times New Roman" w:cs="Times New Roman"/>
                <w:color w:val="auto"/>
                <w:sz w:val="28"/>
                <w:szCs w:val="28"/>
              </w:rPr>
              <w:t>Указание на применение принципа единства правил и методов исследований (испытаний) и измерений только при проведении процедур обязательной оценки соответствия нельзя рассматривать как невозможность или необязательность учета этого принципа при проведении добровольной оценки соответствия. Наоборот, исходя из концепции зако-на о неразрывной связи и единстве правового регулирования отношений в областях установления обязательных и необязательных требований, сформулированной в ст. 1 закона и в понятии «техническое регулирование», единство в области исследований и измерений должно быть обеспечено независимо от характера</w:t>
            </w:r>
            <w:r>
              <w:rPr>
                <w:rStyle w:val="25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Style w:val="25"/>
                <w:rFonts w:ascii="Times New Roman" w:hAnsi="Times New Roman" w:cs="Times New Roman"/>
                <w:color w:val="auto"/>
                <w:sz w:val="28"/>
                <w:szCs w:val="28"/>
              </w:rPr>
              <w:t>возникающих правоотношений</w:t>
            </w:r>
            <w:r>
              <w:rPr>
                <w:rStyle w:val="25"/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</w:tbl>
    <w:p w14:paraId="42F27F48">
      <w:pPr>
        <w:ind w:firstLine="851"/>
      </w:pPr>
      <w:r>
        <w:t>Правильный ответ: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4"/>
        <w:gridCol w:w="1914"/>
        <w:gridCol w:w="1914"/>
        <w:gridCol w:w="1914"/>
      </w:tblGrid>
      <w:tr w14:paraId="38DBF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5836E80A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4D70A0DF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74D871A9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2E8D5AC1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14:paraId="2E8EA342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14:paraId="79684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6988A0A9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39886C0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14:paraId="41A53351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14:paraId="79AE7E0B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914" w:type="dxa"/>
          </w:tcPr>
          <w:p w14:paraId="4998A134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25195B9E">
      <w:r>
        <w:t xml:space="preserve">Компетенции (индикаторы): ОПК-2 </w:t>
      </w:r>
    </w:p>
    <w:p w14:paraId="77D2377E">
      <w:pPr>
        <w:rPr>
          <w:sz w:val="24"/>
        </w:rPr>
      </w:pPr>
    </w:p>
    <w:p w14:paraId="3330AB00">
      <w:r>
        <w:t xml:space="preserve">2. Установите соответствие между </w:t>
      </w:r>
      <w:r>
        <w:rPr>
          <w:rFonts w:cs="Times New Roman"/>
        </w:rPr>
        <w:t>терминами и определениями, которые встречаются в нормативно-технической документации</w:t>
      </w:r>
    </w:p>
    <w:tbl>
      <w:tblPr>
        <w:tblStyle w:val="1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31193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87A81B0">
            <w:pPr>
              <w:ind w:firstLine="0"/>
            </w:pPr>
            <w:r>
              <w:t>1) пакет электронных документов</w:t>
            </w:r>
          </w:p>
        </w:tc>
        <w:tc>
          <w:tcPr>
            <w:tcW w:w="4673" w:type="dxa"/>
          </w:tcPr>
          <w:p w14:paraId="2ECE0818">
            <w:pPr>
              <w:ind w:firstLine="0"/>
            </w:pPr>
            <w:r>
              <w:t xml:space="preserve">А) это </w:t>
            </w:r>
            <w:r>
              <w:rPr>
                <w:rFonts w:cs="Times New Roman"/>
                <w:szCs w:val="28"/>
              </w:rPr>
              <w:t>информация в электронной форме, присоединённая к электронному документу или иным образом связанная с ним и позволяющая идентифицировать лицо, подписавшее электронный документ</w:t>
            </w:r>
          </w:p>
        </w:tc>
      </w:tr>
      <w:tr w14:paraId="12FA1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005478D">
            <w:pPr>
              <w:ind w:firstLine="0"/>
            </w:pPr>
            <w:r>
              <w:t>2) спецификация оборудования, изделий и материалов</w:t>
            </w:r>
          </w:p>
        </w:tc>
        <w:tc>
          <w:tcPr>
            <w:tcW w:w="4673" w:type="dxa"/>
          </w:tcPr>
          <w:p w14:paraId="5596BDBE">
            <w:pPr>
              <w:ind w:firstLine="0"/>
            </w:pPr>
            <w:r>
              <w:t xml:space="preserve">Б) это </w:t>
            </w:r>
            <w:r>
              <w:rPr>
                <w:rFonts w:cs="Times New Roman"/>
                <w:szCs w:val="28"/>
              </w:rPr>
              <w:t>документ, предназначенный для изготовления строительных конструкций, изделий и узлов, на который дана ссылка в основном комплекте рабочих чертежей и который в соответствии с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cs="Times New Roman"/>
                <w:szCs w:val="28"/>
              </w:rPr>
              <w:t>установленным порядком не передаётся заказчику</w:t>
            </w:r>
          </w:p>
        </w:tc>
      </w:tr>
      <w:tr w14:paraId="145F0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ED7F593">
            <w:pPr>
              <w:ind w:firstLine="0"/>
            </w:pPr>
            <w:r>
              <w:t>3) электронная подпись</w:t>
            </w:r>
          </w:p>
        </w:tc>
        <w:tc>
          <w:tcPr>
            <w:tcW w:w="4673" w:type="dxa"/>
          </w:tcPr>
          <w:p w14:paraId="5DF4D367">
            <w:pPr>
              <w:ind w:firstLine="0"/>
            </w:pPr>
            <w:r>
              <w:t>В) это с</w:t>
            </w:r>
            <w:r>
              <w:rPr>
                <w:rFonts w:cs="Times New Roman"/>
                <w:szCs w:val="28"/>
              </w:rPr>
              <w:t>овокупность одного или нескольких электронных документов, служащих для перемещения заключённой в нём информации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14:paraId="72A16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1DEE0F34">
            <w:pPr>
              <w:ind w:firstLine="0"/>
            </w:pPr>
            <w:r>
              <w:t>4) ссылочный документ</w:t>
            </w:r>
          </w:p>
        </w:tc>
        <w:tc>
          <w:tcPr>
            <w:tcW w:w="4673" w:type="dxa"/>
          </w:tcPr>
          <w:p w14:paraId="50CA0EAA">
            <w:pPr>
              <w:ind w:firstLine="0"/>
            </w:pPr>
            <w:r>
              <w:t xml:space="preserve">Г) это </w:t>
            </w:r>
            <w:r>
              <w:rPr>
                <w:rFonts w:cs="Times New Roman"/>
                <w:szCs w:val="28"/>
              </w:rPr>
              <w:t>графический документ, содержащий необходимую и достаточную информацию в виде чертежей и схем, предназначенный для производства строительных и монтажных работ определённого вида (марки)</w:t>
            </w:r>
          </w:p>
        </w:tc>
      </w:tr>
      <w:tr w14:paraId="1FB81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44330EE">
            <w:pPr>
              <w:ind w:firstLine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szCs w:val="28"/>
              </w:rPr>
              <w:t>5) о</w:t>
            </w:r>
            <w:r>
              <w:rPr>
                <w:rStyle w:val="8"/>
                <w:rFonts w:cs="Times New Roman"/>
                <w:b w:val="0"/>
                <w:bCs w:val="0"/>
                <w:szCs w:val="28"/>
              </w:rPr>
              <w:t>сновной комплект рабочих чертежей</w:t>
            </w:r>
          </w:p>
        </w:tc>
        <w:tc>
          <w:tcPr>
            <w:tcW w:w="4673" w:type="dxa"/>
          </w:tcPr>
          <w:p w14:paraId="10B8E1B9">
            <w:pPr>
              <w:ind w:firstLine="0"/>
            </w:pPr>
            <w:r>
              <w:t>Д) это т</w:t>
            </w:r>
            <w:r>
              <w:rPr>
                <w:rFonts w:cs="Times New Roman"/>
                <w:szCs w:val="28"/>
              </w:rPr>
              <w:t>екстовый проектный документ, определяющий состав оборудования, изделий и материалов и предназначенный для комплектования, подготовки и осуществления строительства</w:t>
            </w:r>
          </w:p>
        </w:tc>
      </w:tr>
    </w:tbl>
    <w:p w14:paraId="587E82A3">
      <w:pPr>
        <w:ind w:firstLine="0"/>
      </w:pPr>
      <w:r>
        <w:t>Павильный ответ: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4"/>
        <w:gridCol w:w="1914"/>
        <w:gridCol w:w="1914"/>
        <w:gridCol w:w="1914"/>
      </w:tblGrid>
      <w:tr w14:paraId="505CB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</w:tcPr>
          <w:p w14:paraId="27BBA68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64F02C1C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6CD9084F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5D20AC3E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14:paraId="70D9FCBC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14:paraId="5BC89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</w:tcPr>
          <w:p w14:paraId="10AD3F6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14:paraId="61663FD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914" w:type="dxa"/>
          </w:tcPr>
          <w:p w14:paraId="2AAAEFE5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14:paraId="7AC1FC2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24683152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6E7C303B">
      <w:r>
        <w:t>Компетенции (индикаторы): ОПК-2</w:t>
      </w:r>
    </w:p>
    <w:p w14:paraId="3CEDFC46"/>
    <w:p w14:paraId="2BA8BEF3">
      <w:r>
        <w:t>3. Укажите соответствие принципов разработки, нормативных документов, описанных в правилах ПР 45.02-97 «Отраслевая система стандартизации. Принципы разработки нормантивных документов»</w:t>
      </w:r>
    </w:p>
    <w:tbl>
      <w:tblPr>
        <w:tblStyle w:val="1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48220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03B23C8F">
            <w:pPr>
              <w:ind w:firstLine="0"/>
            </w:pPr>
            <w:r>
              <w:t xml:space="preserve">1) Гармонизация с </w:t>
            </w:r>
            <w:r>
              <w:rPr>
                <w:rStyle w:val="8"/>
                <w:rFonts w:cs="Times New Roman"/>
                <w:b w:val="0"/>
                <w:bCs w:val="0"/>
                <w:szCs w:val="28"/>
                <w:shd w:val="clear" w:color="auto" w:fill="FFFFFF"/>
              </w:rPr>
              <w:t>международными стандартами</w:t>
            </w:r>
            <w:r>
              <w:rPr>
                <w:rFonts w:cs="Times New Roman"/>
              </w:rPr>
              <w:t xml:space="preserve"> и рекомендациями</w:t>
            </w:r>
          </w:p>
        </w:tc>
        <w:tc>
          <w:tcPr>
            <w:tcW w:w="4814" w:type="dxa"/>
          </w:tcPr>
          <w:p w14:paraId="67C9E9FA">
            <w:pPr>
              <w:shd w:val="clear" w:color="auto" w:fill="FFFFFF"/>
              <w:spacing w:before="100" w:beforeAutospacing="1" w:after="120"/>
              <w:ind w:left="49" w:firstLine="0"/>
              <w:jc w:val="left"/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При разработке нормативных документов в зависимости от объекта стандартизации используются нор-мативные документы, руководящие документы, проектная, конструкторская и технологическая документация, унифицированные системы документации и другие источники</w:t>
            </w:r>
          </w:p>
        </w:tc>
      </w:tr>
      <w:tr w14:paraId="05EF4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5C55697C">
            <w:pPr>
              <w:ind w:firstLine="0"/>
              <w:jc w:val="left"/>
            </w:pPr>
            <w:r>
              <w:t>2)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Указание причин разработки</w:t>
            </w:r>
          </w:p>
        </w:tc>
        <w:tc>
          <w:tcPr>
            <w:tcW w:w="4814" w:type="dxa"/>
          </w:tcPr>
          <w:p w14:paraId="53BC9D67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Б)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Это способствует импорту и экспорту продукции, развитию и внед-рению перспективных систем и оборудования, интеграции в международные сети</w:t>
            </w:r>
          </w:p>
        </w:tc>
      </w:tr>
      <w:tr w14:paraId="3BCEA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0CDB456A">
            <w:pPr>
              <w:ind w:firstLine="0"/>
            </w:pPr>
            <w:r>
              <w:t>3)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Определение разделов и подразделов</w:t>
            </w:r>
          </w:p>
        </w:tc>
        <w:tc>
          <w:tcPr>
            <w:tcW w:w="4814" w:type="dxa"/>
          </w:tcPr>
          <w:p w14:paraId="75CC5B11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Этап сбора, изучения и анализа материалов, как правило, должен совмещаться с составлением ТЗ, утверждение которого считается завершением этого этапа</w:t>
            </w:r>
          </w:p>
        </w:tc>
      </w:tr>
      <w:tr w14:paraId="46485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1A741045">
            <w:pPr>
              <w:ind w:firstLine="0"/>
              <w:jc w:val="left"/>
            </w:pPr>
            <w:r>
              <w:t>4)</w:t>
            </w:r>
            <w:r>
              <w:rPr>
                <w:rFonts w:ascii="Arial" w:hAnsi="Arial" w:eastAsia="Times New Roman" w:cs="Arial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Чёткое обозначение этапов разра-ботки </w:t>
            </w:r>
          </w:p>
        </w:tc>
        <w:tc>
          <w:tcPr>
            <w:tcW w:w="4814" w:type="dxa"/>
          </w:tcPr>
          <w:p w14:paraId="71A0F0F1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Если документ разрабатывается впервые, нужно указать, какие документы уже имеются в этой области и чем вызвана необходимость разработки нового документа. Если документ разрабатывается взамен существующего, необходимо изложить причины: пересмотр в связи с большим количеством изменений, появление новых требований и т.п</w:t>
            </w:r>
            <w:r>
              <w:rPr>
                <w:rFonts w:ascii="Arial" w:hAnsi="Arial" w:eastAsia="Times New Roman" w:cs="Arial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</w:tr>
      <w:tr w14:paraId="177E2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6BAD5C9F">
            <w:pPr>
              <w:ind w:firstLine="0"/>
              <w:jc w:val="left"/>
            </w:pPr>
            <w:r>
              <w:t xml:space="preserve">5)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Использование различных источ-ников информации</w:t>
            </w:r>
          </w:p>
        </w:tc>
        <w:tc>
          <w:tcPr>
            <w:tcW w:w="4814" w:type="dxa"/>
          </w:tcPr>
          <w:p w14:paraId="74C72908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Д)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Должны быть указаны главные (основные) разделы и подразделы требований разрабатываемого документа, а также возможные приложения. Наименования разделов и подразделов в процессе разработки могут уточняться и изменяться по согласованию с заказчиком</w:t>
            </w:r>
          </w:p>
        </w:tc>
      </w:tr>
    </w:tbl>
    <w:p w14:paraId="0122DEDE">
      <w:pPr>
        <w:ind w:firstLine="0"/>
      </w:pPr>
      <w:r>
        <w:t xml:space="preserve">Правильный ответ: 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1869"/>
        <w:gridCol w:w="1870"/>
        <w:gridCol w:w="1870"/>
        <w:gridCol w:w="1866"/>
      </w:tblGrid>
      <w:tr w14:paraId="7C60B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</w:tcPr>
          <w:p w14:paraId="743BCBEB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14:paraId="350AF5D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70" w:type="dxa"/>
          </w:tcPr>
          <w:p w14:paraId="00857872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70" w:type="dxa"/>
          </w:tcPr>
          <w:p w14:paraId="1B6A6A42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66" w:type="dxa"/>
          </w:tcPr>
          <w:p w14:paraId="3C198D1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14:paraId="47133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0" w:type="dxa"/>
          </w:tcPr>
          <w:p w14:paraId="24DBA58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869" w:type="dxa"/>
          </w:tcPr>
          <w:p w14:paraId="19695C3F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870" w:type="dxa"/>
          </w:tcPr>
          <w:p w14:paraId="7A04A59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870" w:type="dxa"/>
          </w:tcPr>
          <w:p w14:paraId="1F508CDC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866" w:type="dxa"/>
          </w:tcPr>
          <w:p w14:paraId="71F07ED2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5E4EF3BE">
      <w:r>
        <w:t>Компетенции (индикаторы): ОПК-2</w:t>
      </w:r>
    </w:p>
    <w:p w14:paraId="3EBD7994">
      <w:pPr>
        <w:rPr>
          <w:sz w:val="24"/>
        </w:rPr>
      </w:pPr>
    </w:p>
    <w:p w14:paraId="105DC56C">
      <w:pPr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786B7D00">
      <w:pPr>
        <w:rPr>
          <w:i/>
          <w:sz w:val="24"/>
        </w:rPr>
      </w:pPr>
    </w:p>
    <w:p w14:paraId="033155EE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03850F5E">
      <w:pPr>
        <w:rPr>
          <w:i/>
        </w:rPr>
      </w:pPr>
      <w:r>
        <w:rPr>
          <w:i/>
        </w:rPr>
        <w:t>Запишите правильную последовательность букв слева направо</w:t>
      </w:r>
    </w:p>
    <w:p w14:paraId="22AB470B">
      <w:pPr>
        <w:rPr>
          <w:sz w:val="24"/>
        </w:rPr>
      </w:pPr>
    </w:p>
    <w:p w14:paraId="74F524F7">
      <w:r>
        <w:t>1. Установите правильную последовательность этапов проектирования нормативно-технической документации</w:t>
      </w:r>
    </w:p>
    <w:p w14:paraId="216ABD3F">
      <w:pPr>
        <w:autoSpaceDE w:val="0"/>
        <w:autoSpaceDN w:val="0"/>
        <w:adjustRightInd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А)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Разработка основных технических решений </w:t>
      </w:r>
    </w:p>
    <w:p w14:paraId="5D80AB20">
      <w:pPr>
        <w:autoSpaceDE w:val="0"/>
        <w:autoSpaceDN w:val="0"/>
        <w:adjustRightInd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Б)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Составление задания на проектирование</w:t>
      </w:r>
    </w:p>
    <w:p w14:paraId="317E0288">
      <w:pPr>
        <w:autoSpaceDE w:val="0"/>
        <w:autoSpaceDN w:val="0"/>
        <w:adjustRightInd w:val="0"/>
        <w:rPr>
          <w:rFonts w:cs="Times New Roman"/>
          <w:szCs w:val="28"/>
        </w:rPr>
      </w:pPr>
      <w:r>
        <w:t xml:space="preserve">В)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Разработка рабочей документации</w:t>
      </w:r>
    </w:p>
    <w:p w14:paraId="5132C6A9">
      <w:pPr>
        <w:autoSpaceDE w:val="0"/>
        <w:autoSpaceDN w:val="0"/>
        <w:adjustRightInd w:val="0"/>
      </w:pPr>
      <w:r>
        <w:t xml:space="preserve">Г)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Разработка проектной документации</w:t>
      </w:r>
    </w:p>
    <w:p w14:paraId="5F9900D4">
      <w:pPr>
        <w:shd w:val="clear" w:color="auto" w:fill="FFFFFF"/>
        <w:rPr>
          <w:rFonts w:cs="Times New Roman"/>
          <w:szCs w:val="28"/>
        </w:rPr>
      </w:pPr>
      <w:r>
        <w:t xml:space="preserve">Д)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Сбор исходно-разрешительной документации</w:t>
      </w:r>
    </w:p>
    <w:p w14:paraId="31CEC94E">
      <w:r>
        <w:t>Правильный ответ: Б, Д, А, Г, В</w:t>
      </w:r>
    </w:p>
    <w:p w14:paraId="650D8DAD">
      <w:r>
        <w:t>Компетенции (индикаторы): ОПК- 2</w:t>
      </w:r>
    </w:p>
    <w:p w14:paraId="41A1E035">
      <w:pPr>
        <w:rPr>
          <w:rFonts w:cs="Times New Roman"/>
          <w:sz w:val="24"/>
        </w:rPr>
      </w:pPr>
    </w:p>
    <w:p w14:paraId="48F12FB3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2. Установите правильную последовательность этапов становления и внедрения системы менеджмента качества (СМК)</w:t>
      </w:r>
    </w:p>
    <w:p w14:paraId="4ABED49D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Определение и построение процессов</w:t>
      </w:r>
    </w:p>
    <w:p w14:paraId="15EF5A16">
      <w:pPr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 xml:space="preserve">Б)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Мониторинг свидетельств потребителей и сертификация системы</w:t>
      </w:r>
      <w:r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менеджмента качества</w:t>
      </w:r>
    </w:p>
    <w:p w14:paraId="4030C633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 xml:space="preserve">В)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Подготовительный этап и обучение персонала</w:t>
      </w:r>
    </w:p>
    <w:p w14:paraId="14159448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 xml:space="preserve">Г)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Проведение комплексного анализа действующей системы управления качеством</w:t>
      </w:r>
    </w:p>
    <w:p w14:paraId="515F2067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 xml:space="preserve">Д)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Внедрение и анализ функционирования системы менеджмента качества</w:t>
      </w:r>
    </w:p>
    <w:p w14:paraId="145C16C8">
      <w:r>
        <w:t xml:space="preserve">Правильный ответ: </w:t>
      </w:r>
      <w:bookmarkStart w:id="2" w:name="_Hlk191360004"/>
      <w:r>
        <w:t xml:space="preserve">В, А, Г, Д, </w:t>
      </w:r>
      <w:bookmarkEnd w:id="2"/>
      <w:r>
        <w:t>Б</w:t>
      </w:r>
    </w:p>
    <w:p w14:paraId="2BE2A470">
      <w:r>
        <w:t>Компетенции (индикаторы): ОПК-2</w:t>
      </w:r>
    </w:p>
    <w:p w14:paraId="30CB35DA">
      <w:pPr>
        <w:rPr>
          <w:rFonts w:cs="Times New Roman"/>
          <w:i/>
          <w:sz w:val="24"/>
        </w:rPr>
      </w:pPr>
    </w:p>
    <w:p w14:paraId="0684E326">
      <w:pPr>
        <w:shd w:val="clear" w:color="auto" w:fill="FFFFFF"/>
      </w:pPr>
      <w:r>
        <w:t>3. Расположите этапы нормативно-технического регулирования</w:t>
      </w:r>
    </w:p>
    <w:p w14:paraId="3A2BB3AE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А)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Подготовка проекта технического регламента (проекта изменений в технический регламент)</w:t>
      </w:r>
    </w:p>
    <w:p w14:paraId="509CFD90">
      <w:pPr>
        <w:shd w:val="clear" w:color="auto" w:fill="FFFFFF"/>
        <w:rPr>
          <w:rFonts w:cs="Times New Roman"/>
          <w:szCs w:val="28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Б) Принятие комиссией технического регламента (изменений в технический регламент)</w:t>
      </w:r>
    </w:p>
    <w:p w14:paraId="5E912E01">
      <w:pPr>
        <w:shd w:val="clear" w:color="auto" w:fill="FFFFFF"/>
        <w:rPr>
          <w:rFonts w:cs="Times New Roman"/>
          <w:szCs w:val="28"/>
        </w:rPr>
      </w:pPr>
      <w:r>
        <w:t>В)</w:t>
      </w:r>
      <w:r>
        <w:rPr>
          <w:rFonts w:cs="Times New Roman"/>
          <w:szCs w:val="28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Подготовка и утверждение Евразийской экономической комиссией плана разработки технических регламентов и внесения в них изменений</w:t>
      </w:r>
    </w:p>
    <w:p w14:paraId="4E9C8EED">
      <w:pPr>
        <w:shd w:val="clear" w:color="auto" w:fill="FFFFFF"/>
      </w:pPr>
      <w:r>
        <w:t xml:space="preserve">Г)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Проведение публичного обсуждения проекта технического регламента (проекта изменений в технический регламент), в том числе оценка регулирующего воздействия</w:t>
      </w:r>
    </w:p>
    <w:p w14:paraId="6FCAD07D">
      <w:pPr>
        <w:shd w:val="clear" w:color="auto" w:fill="FFFFFF"/>
      </w:pPr>
      <w:r>
        <w:t xml:space="preserve">Д)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Проведение внутригосударственного согласования проекта технического регламента (проекта изменений в технический регламент</w:t>
      </w:r>
    </w:p>
    <w:p w14:paraId="029ED467">
      <w:r>
        <w:t xml:space="preserve">Правильный ответ: </w:t>
      </w:r>
      <w:bookmarkStart w:id="3" w:name="_Hlk191360059"/>
      <w:r>
        <w:t>В, А, Г, Д, Б</w:t>
      </w:r>
      <w:bookmarkEnd w:id="3"/>
    </w:p>
    <w:p w14:paraId="22472672">
      <w:r>
        <w:t>Компетенции (индикаторы): ПК-5</w:t>
      </w:r>
    </w:p>
    <w:p w14:paraId="1E9AB1A5">
      <w:pPr>
        <w:rPr>
          <w:i/>
          <w:sz w:val="24"/>
        </w:rPr>
      </w:pPr>
    </w:p>
    <w:p w14:paraId="2069E4E0">
      <w:pPr>
        <w:rPr>
          <w:b/>
        </w:rPr>
      </w:pPr>
      <w:r>
        <w:rPr>
          <w:b/>
        </w:rPr>
        <w:t>Задания открытого типа</w:t>
      </w:r>
    </w:p>
    <w:p w14:paraId="197E3986">
      <w:pPr>
        <w:rPr>
          <w:bCs/>
          <w:sz w:val="24"/>
        </w:rPr>
      </w:pPr>
    </w:p>
    <w:p w14:paraId="1A717C7C">
      <w:pPr>
        <w:rPr>
          <w:b/>
        </w:rPr>
      </w:pPr>
      <w:r>
        <w:rPr>
          <w:b/>
        </w:rPr>
        <w:t>Задания открытого типа на дополнение</w:t>
      </w:r>
    </w:p>
    <w:p w14:paraId="0EC15A5F">
      <w:pPr>
        <w:rPr>
          <w:i/>
          <w:sz w:val="24"/>
        </w:rPr>
      </w:pPr>
    </w:p>
    <w:p w14:paraId="2AB4A044">
      <w:pPr>
        <w:rPr>
          <w:b/>
          <w:i/>
        </w:rPr>
      </w:pPr>
      <w:r>
        <w:rPr>
          <w:i/>
        </w:rPr>
        <w:t>Напишите пропущенное слово (словосочетание).</w:t>
      </w:r>
    </w:p>
    <w:p w14:paraId="6E751B8E">
      <w:pPr>
        <w:rPr>
          <w:szCs w:val="28"/>
        </w:rPr>
      </w:pPr>
    </w:p>
    <w:p w14:paraId="37128010">
      <w:pPr>
        <w:pStyle w:val="20"/>
        <w:ind w:left="0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1. </w:t>
      </w:r>
      <w:r>
        <w:rPr>
          <w:rFonts w:cs="Times New Roman"/>
          <w:szCs w:val="28"/>
        </w:rPr>
        <w:t>Обязательность выполнения условий стандарта наступает тогда, когда вступает в силу соответствующий</w:t>
      </w:r>
      <w:r>
        <w:rPr>
          <w:iCs/>
          <w:szCs w:val="28"/>
          <w:lang w:eastAsia="ru-RU"/>
        </w:rPr>
        <w:t xml:space="preserve"> </w:t>
      </w:r>
      <w:r>
        <w:rPr>
          <w:spacing w:val="9"/>
          <w:szCs w:val="28"/>
        </w:rPr>
        <w:t>__________</w:t>
      </w:r>
      <w:r>
        <w:rPr>
          <w:iCs/>
          <w:szCs w:val="28"/>
          <w:lang w:eastAsia="ru-RU"/>
        </w:rPr>
        <w:t xml:space="preserve"> или другой правовой документ (контракт, договор, соглашение, гарантийное письмо и другие нормы), устанавливающие условия поставки.</w:t>
      </w:r>
    </w:p>
    <w:p w14:paraId="5DEDD907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szCs w:val="28"/>
        </w:rPr>
        <w:t>закон</w:t>
      </w:r>
    </w:p>
    <w:p w14:paraId="5C3BC69E">
      <w:pPr>
        <w:rPr>
          <w:szCs w:val="28"/>
        </w:rPr>
      </w:pPr>
      <w:r>
        <w:rPr>
          <w:szCs w:val="28"/>
        </w:rPr>
        <w:t>Компетенции (индикаторы): ОПК-2</w:t>
      </w:r>
    </w:p>
    <w:p w14:paraId="29C393DC">
      <w:pPr>
        <w:rPr>
          <w:sz w:val="24"/>
        </w:rPr>
      </w:pPr>
    </w:p>
    <w:p w14:paraId="5740C6CE">
      <w:pPr>
        <w:rPr>
          <w:rFonts w:eastAsia="Arial" w:cs="Times New Roman"/>
          <w:szCs w:val="28"/>
          <w:lang w:eastAsia="ru-RU" w:bidi="ru-RU"/>
        </w:rPr>
      </w:pPr>
      <w:r>
        <w:rPr>
          <w:spacing w:val="9"/>
          <w:szCs w:val="28"/>
        </w:rPr>
        <w:t>2.</w:t>
      </w:r>
      <w:r>
        <w:rPr>
          <w:rFonts w:eastAsia="Arial" w:cs="Times New Roman"/>
          <w:szCs w:val="28"/>
          <w:lang w:eastAsia="ru-RU" w:bidi="ru-RU"/>
        </w:rPr>
        <w:t xml:space="preserve"> </w:t>
      </w:r>
      <w:r>
        <w:rPr>
          <w:rFonts w:eastAsia="TimesNewRoman" w:cs="Times New Roman"/>
          <w:szCs w:val="28"/>
        </w:rPr>
        <w:t>Сертификация – форма осуществляемого органом по сертификации подтверждения соответствия объектов</w:t>
      </w:r>
      <w:r>
        <w:rPr>
          <w:rFonts w:eastAsia="Arial" w:cs="Times New Roman"/>
          <w:szCs w:val="28"/>
          <w:lang w:eastAsia="ru-RU" w:bidi="ru-RU"/>
        </w:rPr>
        <w:t xml:space="preserve"> </w:t>
      </w:r>
      <w:r>
        <w:rPr>
          <w:spacing w:val="9"/>
          <w:szCs w:val="28"/>
        </w:rPr>
        <w:t>___________</w:t>
      </w:r>
      <w:r>
        <w:rPr>
          <w:rFonts w:eastAsia="Arial" w:cs="Times New Roman"/>
          <w:szCs w:val="28"/>
          <w:lang w:eastAsia="ru-RU" w:bidi="ru-RU"/>
        </w:rPr>
        <w:t xml:space="preserve"> </w:t>
      </w:r>
      <w:r>
        <w:rPr>
          <w:rFonts w:eastAsia="TimesNewRoman" w:cs="Times New Roman"/>
          <w:szCs w:val="28"/>
        </w:rPr>
        <w:t>технических регламентов, документам по стандартизации или условиям договоров.</w:t>
      </w:r>
    </w:p>
    <w:p w14:paraId="6B17AFAA">
      <w:pPr>
        <w:rPr>
          <w:szCs w:val="28"/>
        </w:rPr>
      </w:pPr>
      <w:r>
        <w:rPr>
          <w:szCs w:val="28"/>
        </w:rPr>
        <w:t>Правильный ответ:</w:t>
      </w:r>
      <w:r>
        <w:rPr>
          <w:rFonts w:eastAsia="Arial" w:cs="Times New Roman"/>
          <w:szCs w:val="28"/>
          <w:lang w:eastAsia="ru-RU" w:bidi="ru-RU"/>
        </w:rPr>
        <w:t xml:space="preserve"> требованиям</w:t>
      </w:r>
    </w:p>
    <w:p w14:paraId="06BAFD01">
      <w:pPr>
        <w:rPr>
          <w:szCs w:val="28"/>
        </w:rPr>
      </w:pPr>
      <w:r>
        <w:rPr>
          <w:szCs w:val="28"/>
        </w:rPr>
        <w:t>Компетенции (индикаторы): ОПК-2</w:t>
      </w:r>
    </w:p>
    <w:p w14:paraId="4E88C6BC">
      <w:pPr>
        <w:rPr>
          <w:i/>
          <w:sz w:val="24"/>
        </w:rPr>
      </w:pPr>
    </w:p>
    <w:p w14:paraId="0DC64C6C">
      <w:pPr>
        <w:rPr>
          <w:rFonts w:eastAsia="Arial" w:cs="Times New Roman"/>
          <w:szCs w:val="28"/>
          <w:lang w:eastAsia="ru-RU" w:bidi="ru-RU"/>
        </w:rPr>
      </w:pPr>
      <w:r>
        <w:rPr>
          <w:szCs w:val="28"/>
        </w:rPr>
        <w:t xml:space="preserve">3. </w:t>
      </w:r>
      <w:r>
        <w:rPr>
          <w:rFonts w:cs="Times New Roman"/>
          <w:szCs w:val="28"/>
        </w:rPr>
        <w:t>Каждое промышленное предприятие имеет свою метрологическую службу, которая обеспечивает</w:t>
      </w:r>
      <w:r>
        <w:rPr>
          <w:rFonts w:eastAsia="Arial" w:cs="Times New Roman"/>
          <w:szCs w:val="28"/>
          <w:lang w:eastAsia="ru-RU" w:bidi="ru-RU"/>
        </w:rPr>
        <w:t xml:space="preserve"> </w:t>
      </w:r>
      <w:r>
        <w:rPr>
          <w:spacing w:val="9"/>
          <w:szCs w:val="28"/>
        </w:rPr>
        <w:t>___________</w:t>
      </w:r>
      <w:r>
        <w:rPr>
          <w:rFonts w:eastAsia="Arial" w:cs="Times New Roman"/>
          <w:szCs w:val="28"/>
          <w:lang w:eastAsia="ru-RU" w:bidi="ru-RU"/>
        </w:rPr>
        <w:t xml:space="preserve"> </w:t>
      </w:r>
      <w:r>
        <w:rPr>
          <w:rFonts w:cs="Times New Roman"/>
          <w:szCs w:val="28"/>
        </w:rPr>
        <w:t>эталонными образцами, средствами и методами измерений и критериями точности</w:t>
      </w:r>
    </w:p>
    <w:p w14:paraId="59B44977">
      <w:pPr>
        <w:rPr>
          <w:szCs w:val="28"/>
        </w:rPr>
      </w:pPr>
      <w:r>
        <w:rPr>
          <w:szCs w:val="28"/>
        </w:rPr>
        <w:t xml:space="preserve">Правильный ответ: производство </w:t>
      </w:r>
    </w:p>
    <w:p w14:paraId="5A890F1C">
      <w:pPr>
        <w:rPr>
          <w:szCs w:val="28"/>
        </w:rPr>
      </w:pPr>
      <w:r>
        <w:rPr>
          <w:szCs w:val="28"/>
        </w:rPr>
        <w:t>Компетенции (индикаторы): ОПК-2</w:t>
      </w:r>
    </w:p>
    <w:p w14:paraId="70967229">
      <w:pPr>
        <w:rPr>
          <w:sz w:val="24"/>
        </w:rPr>
      </w:pPr>
    </w:p>
    <w:p w14:paraId="01F9103C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4AF06F84">
      <w:pPr>
        <w:rPr>
          <w:bCs/>
          <w:szCs w:val="28"/>
        </w:rPr>
      </w:pPr>
    </w:p>
    <w:p w14:paraId="04F2EAC2">
      <w:pPr>
        <w:rPr>
          <w:i/>
        </w:rPr>
      </w:pPr>
      <w:r>
        <w:rPr>
          <w:i/>
        </w:rPr>
        <w:t xml:space="preserve">Дайте ответ на вопрос </w:t>
      </w:r>
    </w:p>
    <w:p w14:paraId="7624C9BF">
      <w:pPr>
        <w:tabs>
          <w:tab w:val="left" w:pos="284"/>
        </w:tabs>
        <w:rPr>
          <w:sz w:val="24"/>
        </w:rPr>
      </w:pPr>
    </w:p>
    <w:p w14:paraId="7C5CAA35">
      <w:pPr>
        <w:tabs>
          <w:tab w:val="left" w:pos="284"/>
        </w:tabs>
      </w:pPr>
      <w:r>
        <w:t xml:space="preserve">1. </w:t>
      </w:r>
      <w:r>
        <w:rPr>
          <w:szCs w:val="28"/>
        </w:rPr>
        <w:t>Какой смысловой контекст определения</w:t>
      </w:r>
      <w:r>
        <w:t xml:space="preserve"> метрология </w:t>
      </w:r>
    </w:p>
    <w:p w14:paraId="5997C930">
      <w:pPr>
        <w:tabs>
          <w:tab w:val="left" w:pos="284"/>
        </w:tabs>
        <w:rPr>
          <w:rFonts w:cs="Times New Roman"/>
          <w:szCs w:val="28"/>
          <w:lang w:eastAsia="ru-RU"/>
        </w:rPr>
      </w:pPr>
      <w:r>
        <w:rPr>
          <w:szCs w:val="28"/>
        </w:rPr>
        <w:t>Правильный ответ:</w:t>
      </w:r>
      <w:r>
        <w:rPr>
          <w:rFonts w:hint="default"/>
          <w:szCs w:val="28"/>
          <w:lang w:val="ru-RU"/>
        </w:rPr>
        <w:t xml:space="preserve"> </w:t>
      </w:r>
      <w:r>
        <w:rPr>
          <w:rFonts w:cs="Times New Roman"/>
          <w:szCs w:val="28"/>
        </w:rPr>
        <w:t>Метрология – это единая система измерений. Кроме того, так называют науку об измерениях физических величин, методах и средствах обеспечения их единства и требуемой точности. Основными нормативно-техническими документами, регламентирующими деятельность в области метрологии, являются законы, постановления, стандарты и правила</w:t>
      </w:r>
    </w:p>
    <w:p w14:paraId="6E65080C">
      <w:pPr>
        <w:rPr>
          <w:szCs w:val="28"/>
        </w:rPr>
      </w:pPr>
      <w:r>
        <w:rPr>
          <w:szCs w:val="28"/>
        </w:rPr>
        <w:t>Компетенции (индикаторы): ОПК-2</w:t>
      </w:r>
    </w:p>
    <w:p w14:paraId="34F29D69">
      <w:pPr>
        <w:rPr>
          <w:sz w:val="24"/>
        </w:rPr>
      </w:pPr>
    </w:p>
    <w:p w14:paraId="5A8D9218">
      <w:pPr>
        <w:rPr>
          <w:szCs w:val="28"/>
        </w:rPr>
      </w:pPr>
      <w:r>
        <w:rPr>
          <w:szCs w:val="28"/>
        </w:rPr>
        <w:t xml:space="preserve">2. </w:t>
      </w:r>
      <w:bookmarkStart w:id="4" w:name="_Hlk193920573"/>
      <w:r>
        <w:rPr>
          <w:szCs w:val="28"/>
        </w:rPr>
        <w:t xml:space="preserve">Какой смысловой контекст определения </w:t>
      </w:r>
      <w:bookmarkEnd w:id="4"/>
      <w:r>
        <w:rPr>
          <w:szCs w:val="28"/>
        </w:rPr>
        <w:t>сертификация ?</w:t>
      </w:r>
    </w:p>
    <w:p w14:paraId="6C47129F">
      <w:pPr>
        <w:rPr>
          <w:spacing w:val="-2"/>
          <w:szCs w:val="28"/>
        </w:rPr>
      </w:pPr>
      <w:r>
        <w:rPr>
          <w:szCs w:val="28"/>
        </w:rPr>
        <w:t>Правильный ответ:</w:t>
      </w:r>
      <w:r>
        <w:rPr>
          <w:rFonts w:hint="default"/>
          <w:szCs w:val="28"/>
          <w:lang w:val="ru-RU"/>
        </w:rPr>
        <w:t xml:space="preserve"> </w:t>
      </w:r>
      <w:r>
        <w:rPr>
          <w:rFonts w:cs="Times New Roman"/>
          <w:szCs w:val="28"/>
        </w:rPr>
        <w:t>Сертификат – документ, удостоверяющий качество товара. Сертификация – форма подтверждения соответствия качества сертифицируемых объектов технического регулирования (ТР) требованиям технических регламентов, положениям стандартов, сводов правил или условиям договоров</w:t>
      </w:r>
    </w:p>
    <w:p w14:paraId="701B4789">
      <w:pPr>
        <w:rPr>
          <w:szCs w:val="28"/>
        </w:rPr>
      </w:pPr>
      <w:r>
        <w:rPr>
          <w:szCs w:val="28"/>
        </w:rPr>
        <w:t>Компетенции (индикаторы): ОПК-2</w:t>
      </w:r>
    </w:p>
    <w:p w14:paraId="619453A5">
      <w:pPr>
        <w:rPr>
          <w:sz w:val="24"/>
        </w:rPr>
      </w:pPr>
    </w:p>
    <w:p w14:paraId="1259CAF8">
      <w:pPr>
        <w:rPr>
          <w:szCs w:val="28"/>
        </w:rPr>
      </w:pPr>
      <w:r>
        <w:rPr>
          <w:szCs w:val="28"/>
        </w:rPr>
        <w:t xml:space="preserve">3. Какова необходимость в контроле информации </w:t>
      </w:r>
      <w:r>
        <w:rPr>
          <w:spacing w:val="-2"/>
          <w:szCs w:val="28"/>
        </w:rPr>
        <w:t>?</w:t>
      </w:r>
    </w:p>
    <w:p w14:paraId="1B7693EE">
      <w:pPr>
        <w:autoSpaceDE w:val="0"/>
        <w:autoSpaceDN w:val="0"/>
        <w:adjustRightInd w:val="0"/>
        <w:ind w:firstLine="567"/>
        <w:rPr>
          <w:rFonts w:cs="Times New Roman"/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szCs w:val="28"/>
        </w:rPr>
        <w:t>Контроль – процесс получения и обработки информации об объекте (параметре детали, механизма, процесса и т. д.) для определения его годности или необходимости введения управляющих воздействий на факторы, влияющие на объект</w:t>
      </w:r>
    </w:p>
    <w:p w14:paraId="4BCF344A">
      <w:r>
        <w:rPr>
          <w:szCs w:val="28"/>
        </w:rPr>
        <w:t>Компетенции (индикаторы): ОПК-2</w:t>
      </w:r>
    </w:p>
    <w:p w14:paraId="4A719237">
      <w:pPr>
        <w:rPr>
          <w:bCs/>
          <w:sz w:val="24"/>
        </w:rPr>
      </w:pPr>
    </w:p>
    <w:p w14:paraId="02031FCD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14:paraId="4CE7AA74">
      <w:pPr>
        <w:rPr>
          <w:b/>
          <w:sz w:val="24"/>
        </w:rPr>
      </w:pPr>
    </w:p>
    <w:p w14:paraId="6E82F9B5">
      <w:pPr>
        <w:rPr>
          <w:i/>
        </w:rPr>
      </w:pPr>
      <w:r>
        <w:rPr>
          <w:i/>
        </w:rPr>
        <w:t xml:space="preserve">Дайте ответ на вопрос </w:t>
      </w:r>
    </w:p>
    <w:p w14:paraId="12C264EC">
      <w:pPr>
        <w:rPr>
          <w:i/>
          <w:sz w:val="24"/>
        </w:rPr>
      </w:pPr>
    </w:p>
    <w:p w14:paraId="31B2963B">
      <w:pPr>
        <w:pStyle w:val="20"/>
        <w:ind w:left="0"/>
      </w:pPr>
      <w:r>
        <w:t>1. Какова цель сертификации?</w:t>
      </w:r>
    </w:p>
    <w:p w14:paraId="4F739DC3">
      <w:pPr>
        <w:pStyle w:val="20"/>
        <w:ind w:left="0"/>
      </w:pPr>
      <w:r>
        <w:t>Время выполнения – 10 мин.</w:t>
      </w:r>
    </w:p>
    <w:p w14:paraId="5A0EAEA9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t>: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CDC111F">
      <w:pPr>
        <w:shd w:val="clear" w:color="auto" w:fill="FFFFFF"/>
        <w:rPr>
          <w:rFonts w:eastAsia="Arial" w:cs="Times New Roman"/>
          <w:kern w:val="0"/>
          <w:szCs w:val="28"/>
          <w:lang w:eastAsia="ru-RU" w:bidi="ru-RU"/>
          <w14:ligatures w14:val="none"/>
        </w:rPr>
      </w:pPr>
      <w:r>
        <w:rPr>
          <w:rFonts w:cs="Times New Roman"/>
          <w:szCs w:val="28"/>
        </w:rPr>
        <w:t>Целью сертификации является: компетентное подтверждение соответствия объектов сертификации всем требованиям по качеству предъявляемых к данной продукции техническим регламента, стандарта, сводам правил и условиям договоров; содействие потребителям в выборе продукции; повышение конкурентоспособности продукции, работ, услуг на российском и между народном рынках; создание условий для обеспечения свободного перемещения товаров по территории Российской Федерации, а также для осуществления международного экономического, научно-технического сотрудничества и международной торговли; производство более современной и качественной продукции и обращение ее на рынке</w:t>
      </w:r>
      <w:r>
        <w:rPr>
          <w:rFonts w:ascii="Baltica-Regular" w:hAnsi="Baltica-Regular"/>
          <w:sz w:val="20"/>
          <w:szCs w:val="20"/>
        </w:rPr>
        <w:t>.</w:t>
      </w:r>
    </w:p>
    <w:p w14:paraId="4767191A">
      <w:pPr>
        <w:tabs>
          <w:tab w:val="left" w:pos="284"/>
        </w:tabs>
        <w:rPr>
          <w:szCs w:val="28"/>
        </w:rPr>
      </w:pPr>
      <w:bookmarkStart w:id="5" w:name="_Hlk193632245"/>
      <w:r>
        <w:t>Компетенции (индикаторы): О</w:t>
      </w:r>
      <w:r>
        <w:rPr>
          <w:szCs w:val="28"/>
        </w:rPr>
        <w:t>ПК-2</w:t>
      </w:r>
    </w:p>
    <w:bookmarkEnd w:id="5"/>
    <w:p w14:paraId="4E9AB82B">
      <w:pPr>
        <w:tabs>
          <w:tab w:val="left" w:pos="284"/>
        </w:tabs>
        <w:rPr>
          <w:sz w:val="24"/>
        </w:rPr>
      </w:pPr>
    </w:p>
    <w:p w14:paraId="58804EF0">
      <w:pPr>
        <w:rPr>
          <w:szCs w:val="28"/>
        </w:rPr>
      </w:pPr>
      <w:r>
        <w:rPr>
          <w:szCs w:val="28"/>
        </w:rPr>
        <w:t>2. Укажите, какие единые правила регулирования устанавливает закон РФ «О техническом регулировании»</w:t>
      </w:r>
    </w:p>
    <w:p w14:paraId="288910EF">
      <w:pPr>
        <w:pStyle w:val="20"/>
        <w:ind w:left="0"/>
      </w:pPr>
      <w:r>
        <w:t>Время выполнения – 10 мин.</w:t>
      </w:r>
    </w:p>
    <w:p w14:paraId="4CCA6957">
      <w:pPr>
        <w:shd w:val="clear" w:color="auto" w:fill="FFFFFF"/>
        <w:rPr>
          <w:szCs w:val="28"/>
        </w:rPr>
      </w:pPr>
      <w:r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rPr>
          <w:szCs w:val="28"/>
        </w:rPr>
        <w:t xml:space="preserve">: </w:t>
      </w:r>
    </w:p>
    <w:p w14:paraId="2C264DD5">
      <w:pPr>
        <w:shd w:val="clear" w:color="auto" w:fill="FFFFFF"/>
        <w:rPr>
          <w:szCs w:val="28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Закон Российской Федерации «О техническом регулировании» устанавливает применение единых правил и требований в развитии национальной экономики, научно-технического прогресса, безопасности жизни людей и материальных ценностей, охраны окружающей среды, т. е. предусматривает техническое регулирование экономики. Документом технического регулирования является технический регламент. К его разработке могут привлекаться высококвалифицированные специалисты и организации. Проект технического регламента публикуется в печати и проходит обсуждение и согласование заинтересованных лиц и организаций. После обсуждения и согласования Правительством Российской Федерации вносится в Государственную Думу, где проходит процедуру принятия в обычном порядке и принимается в виде Федерального закона</w:t>
      </w:r>
    </w:p>
    <w:p w14:paraId="054CC3FE">
      <w:pPr>
        <w:tabs>
          <w:tab w:val="left" w:pos="284"/>
        </w:tabs>
        <w:rPr>
          <w:szCs w:val="28"/>
        </w:rPr>
      </w:pPr>
      <w:r>
        <w:t>Компетенции (индикаторы): О</w:t>
      </w:r>
      <w:r>
        <w:rPr>
          <w:szCs w:val="28"/>
        </w:rPr>
        <w:t>ПК-2</w:t>
      </w:r>
    </w:p>
    <w:p w14:paraId="596396ED">
      <w:pPr>
        <w:rPr>
          <w:szCs w:val="28"/>
        </w:rPr>
      </w:pPr>
    </w:p>
    <w:p w14:paraId="15DB71E8">
      <w:pPr>
        <w:rPr>
          <w:szCs w:val="28"/>
        </w:rPr>
      </w:pPr>
      <w:r>
        <w:rPr>
          <w:szCs w:val="28"/>
        </w:rPr>
        <w:t xml:space="preserve">3. Укажите перечень рекомендаций по межгосударственной стандртиза-ции, принятый Межгосударственным советом </w:t>
      </w:r>
    </w:p>
    <w:p w14:paraId="00DCCAA4">
      <w:pPr>
        <w:pStyle w:val="20"/>
        <w:ind w:left="0"/>
      </w:pPr>
      <w:r>
        <w:t>Время выполнения – 10 мин.</w:t>
      </w:r>
    </w:p>
    <w:p w14:paraId="78E7F630">
      <w:pPr>
        <w:pStyle w:val="19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решению:</w:t>
      </w:r>
    </w:p>
    <w:p w14:paraId="2F90AADA">
      <w:pPr>
        <w:pStyle w:val="19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kern w:val="2"/>
          <w:sz w:val="28"/>
          <w:szCs w:val="28"/>
          <w14:ligatures w14:val="standardContextual"/>
        </w:rPr>
        <w:t>РМГ – рекомендации по межгосударственной стандартизации. Приняты Межгосударственным советом по стандартизации, метрологии и сертификации и содержат рекомендации для добровольного использования организационно-методических положений. Межгосударственный cовет принял систему обеспечения единства измерений, систему государственных испытаний средств измерений, правила отбора проб для механических и других испытаний, а также для определения химического состава материалов. Структура стандартов на конструкционные материалы, принятая Госстандартом СССР, почти не изменилась. Она включает в себя следующие положения: марка конструкционного материала (металл, сплав), классификация; сортамент, область применения; химический состав; физические, химические, механические, технологические и эксплуатационные свойства; методы контроля (испытания); маркировка продукции, принцип маркировки; условия поставки и хранения; гарантия завода-изготовителя.</w:t>
      </w:r>
    </w:p>
    <w:p w14:paraId="303BFF23">
      <w:pPr>
        <w:tabs>
          <w:tab w:val="left" w:pos="284"/>
        </w:tabs>
        <w:rPr>
          <w:szCs w:val="28"/>
        </w:rPr>
      </w:pPr>
      <w:r>
        <w:t>Компетенции (индикаторы): О</w:t>
      </w:r>
      <w:r>
        <w:rPr>
          <w:szCs w:val="28"/>
        </w:rPr>
        <w:t>ПК-2</w:t>
      </w:r>
    </w:p>
    <w:p w14:paraId="33D5A34B">
      <w:pPr>
        <w:tabs>
          <w:tab w:val="left" w:pos="284"/>
        </w:tabs>
        <w:rPr>
          <w:szCs w:val="28"/>
        </w:rPr>
      </w:pPr>
    </w:p>
    <w:p w14:paraId="01F2FB97">
      <w:pPr>
        <w:tabs>
          <w:tab w:val="left" w:pos="284"/>
        </w:tabs>
        <w:rPr>
          <w:szCs w:val="28"/>
        </w:rPr>
      </w:pPr>
    </w:p>
    <w:p w14:paraId="29DCC2C9">
      <w:pPr>
        <w:tabs>
          <w:tab w:val="left" w:pos="284"/>
        </w:tabs>
        <w:ind w:left="0" w:leftChars="0" w:firstLine="0" w:firstLineChars="0"/>
      </w:pPr>
      <w:bookmarkStart w:id="6" w:name="_GoBack"/>
      <w:bookmarkEnd w:id="6"/>
    </w:p>
    <w:p w14:paraId="1BA80805">
      <w:pPr>
        <w:tabs>
          <w:tab w:val="left" w:pos="284"/>
        </w:tabs>
        <w:ind w:left="0" w:leftChars="0" w:firstLine="0" w:firstLineChars="0"/>
      </w:pPr>
    </w:p>
    <w:p w14:paraId="034C93E0">
      <w:pPr>
        <w:tabs>
          <w:tab w:val="left" w:pos="284"/>
        </w:tabs>
        <w:ind w:left="0" w:leftChars="0" w:firstLine="0" w:firstLineChars="0"/>
      </w:pPr>
    </w:p>
    <w:p w14:paraId="7BE37CC7">
      <w:pPr>
        <w:tabs>
          <w:tab w:val="left" w:pos="284"/>
        </w:tabs>
        <w:ind w:left="0" w:leftChars="0" w:firstLine="0" w:firstLineChars="0"/>
      </w:pPr>
    </w:p>
    <w:p w14:paraId="161F1D53">
      <w:pPr>
        <w:tabs>
          <w:tab w:val="left" w:pos="284"/>
        </w:tabs>
        <w:ind w:left="0" w:leftChars="0" w:firstLine="0" w:firstLineChars="0"/>
      </w:pPr>
    </w:p>
    <w:p w14:paraId="72B44CCF">
      <w:pPr>
        <w:tabs>
          <w:tab w:val="left" w:pos="284"/>
        </w:tabs>
        <w:ind w:left="0" w:leftChars="0" w:firstLine="0" w:firstLineChars="0"/>
      </w:pPr>
    </w:p>
    <w:p w14:paraId="2D75AF10">
      <w:pPr>
        <w:tabs>
          <w:tab w:val="left" w:pos="284"/>
        </w:tabs>
        <w:ind w:left="0" w:leftChars="0" w:firstLine="0" w:firstLineChars="0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harterIT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1" w:csb1="00000000"/>
  </w:font>
  <w:font w:name="Baltica-Regular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593"/>
    <w:rsid w:val="000153C0"/>
    <w:rsid w:val="000235DC"/>
    <w:rsid w:val="0002474C"/>
    <w:rsid w:val="00035602"/>
    <w:rsid w:val="00042875"/>
    <w:rsid w:val="00047752"/>
    <w:rsid w:val="00067E61"/>
    <w:rsid w:val="000867A6"/>
    <w:rsid w:val="000C11E7"/>
    <w:rsid w:val="000C1A01"/>
    <w:rsid w:val="000C6641"/>
    <w:rsid w:val="000D14AA"/>
    <w:rsid w:val="000D1854"/>
    <w:rsid w:val="000F4CE9"/>
    <w:rsid w:val="000F68D7"/>
    <w:rsid w:val="00101E35"/>
    <w:rsid w:val="00112C6D"/>
    <w:rsid w:val="00123604"/>
    <w:rsid w:val="001248F8"/>
    <w:rsid w:val="00126A24"/>
    <w:rsid w:val="0014620D"/>
    <w:rsid w:val="0018512A"/>
    <w:rsid w:val="001A1804"/>
    <w:rsid w:val="001A18A4"/>
    <w:rsid w:val="001A653A"/>
    <w:rsid w:val="001B2C62"/>
    <w:rsid w:val="001B64BE"/>
    <w:rsid w:val="001C0879"/>
    <w:rsid w:val="001F26D4"/>
    <w:rsid w:val="00226940"/>
    <w:rsid w:val="00230B6D"/>
    <w:rsid w:val="002514BC"/>
    <w:rsid w:val="002527AD"/>
    <w:rsid w:val="002610CE"/>
    <w:rsid w:val="00264BAA"/>
    <w:rsid w:val="00282F26"/>
    <w:rsid w:val="002A12EE"/>
    <w:rsid w:val="002B2A93"/>
    <w:rsid w:val="002D2DE7"/>
    <w:rsid w:val="002D4072"/>
    <w:rsid w:val="002E75EA"/>
    <w:rsid w:val="002F6251"/>
    <w:rsid w:val="003079D5"/>
    <w:rsid w:val="00310001"/>
    <w:rsid w:val="0031002E"/>
    <w:rsid w:val="00316181"/>
    <w:rsid w:val="00334261"/>
    <w:rsid w:val="00350E86"/>
    <w:rsid w:val="00357A41"/>
    <w:rsid w:val="00392E70"/>
    <w:rsid w:val="003A741D"/>
    <w:rsid w:val="003B7A75"/>
    <w:rsid w:val="003E5610"/>
    <w:rsid w:val="003E7C1A"/>
    <w:rsid w:val="003F2BA1"/>
    <w:rsid w:val="00432C1A"/>
    <w:rsid w:val="00433934"/>
    <w:rsid w:val="00434E39"/>
    <w:rsid w:val="0043712D"/>
    <w:rsid w:val="00453196"/>
    <w:rsid w:val="00460BAF"/>
    <w:rsid w:val="00462FB4"/>
    <w:rsid w:val="00464460"/>
    <w:rsid w:val="00471268"/>
    <w:rsid w:val="0049304F"/>
    <w:rsid w:val="004C5E8A"/>
    <w:rsid w:val="004D0FA4"/>
    <w:rsid w:val="004F0529"/>
    <w:rsid w:val="004F2F23"/>
    <w:rsid w:val="004F3B29"/>
    <w:rsid w:val="0051774B"/>
    <w:rsid w:val="00521750"/>
    <w:rsid w:val="00524B17"/>
    <w:rsid w:val="005261F0"/>
    <w:rsid w:val="00535ECE"/>
    <w:rsid w:val="00542374"/>
    <w:rsid w:val="00543261"/>
    <w:rsid w:val="0059089C"/>
    <w:rsid w:val="005D5161"/>
    <w:rsid w:val="005E2214"/>
    <w:rsid w:val="005E36A3"/>
    <w:rsid w:val="005F3A26"/>
    <w:rsid w:val="00602C54"/>
    <w:rsid w:val="006066A8"/>
    <w:rsid w:val="006233A7"/>
    <w:rsid w:val="0063325F"/>
    <w:rsid w:val="00637B8D"/>
    <w:rsid w:val="006524C5"/>
    <w:rsid w:val="00664BFC"/>
    <w:rsid w:val="006660B5"/>
    <w:rsid w:val="00671862"/>
    <w:rsid w:val="00674937"/>
    <w:rsid w:val="00696C3F"/>
    <w:rsid w:val="006B3DFE"/>
    <w:rsid w:val="006C3428"/>
    <w:rsid w:val="006D78E3"/>
    <w:rsid w:val="00711B16"/>
    <w:rsid w:val="007133D9"/>
    <w:rsid w:val="00716F0A"/>
    <w:rsid w:val="00727D1C"/>
    <w:rsid w:val="007513F0"/>
    <w:rsid w:val="007546BF"/>
    <w:rsid w:val="00760539"/>
    <w:rsid w:val="00762A1B"/>
    <w:rsid w:val="00763136"/>
    <w:rsid w:val="00765DB7"/>
    <w:rsid w:val="00791F01"/>
    <w:rsid w:val="00792BB5"/>
    <w:rsid w:val="007A4C95"/>
    <w:rsid w:val="007A4CFA"/>
    <w:rsid w:val="007A6BD1"/>
    <w:rsid w:val="007A7727"/>
    <w:rsid w:val="007D3EB2"/>
    <w:rsid w:val="007D758B"/>
    <w:rsid w:val="007E756B"/>
    <w:rsid w:val="007E78AB"/>
    <w:rsid w:val="007F2FAA"/>
    <w:rsid w:val="007F509A"/>
    <w:rsid w:val="008033CE"/>
    <w:rsid w:val="00812D9E"/>
    <w:rsid w:val="008139BA"/>
    <w:rsid w:val="008257E4"/>
    <w:rsid w:val="00827EF3"/>
    <w:rsid w:val="008335F4"/>
    <w:rsid w:val="008418D1"/>
    <w:rsid w:val="008560B3"/>
    <w:rsid w:val="00861950"/>
    <w:rsid w:val="00871593"/>
    <w:rsid w:val="00880DC8"/>
    <w:rsid w:val="008813E4"/>
    <w:rsid w:val="00895320"/>
    <w:rsid w:val="008C21F7"/>
    <w:rsid w:val="008F6870"/>
    <w:rsid w:val="0090362E"/>
    <w:rsid w:val="00907201"/>
    <w:rsid w:val="00921D76"/>
    <w:rsid w:val="00937BC0"/>
    <w:rsid w:val="00947D48"/>
    <w:rsid w:val="00955B03"/>
    <w:rsid w:val="00973E4D"/>
    <w:rsid w:val="009908A1"/>
    <w:rsid w:val="009A568B"/>
    <w:rsid w:val="009B36F1"/>
    <w:rsid w:val="009C4CF6"/>
    <w:rsid w:val="009D02F3"/>
    <w:rsid w:val="009F3757"/>
    <w:rsid w:val="00A357B3"/>
    <w:rsid w:val="00A44A51"/>
    <w:rsid w:val="00A5365B"/>
    <w:rsid w:val="00A93652"/>
    <w:rsid w:val="00AC41C8"/>
    <w:rsid w:val="00AD4DA2"/>
    <w:rsid w:val="00AE1DB8"/>
    <w:rsid w:val="00AE2FE6"/>
    <w:rsid w:val="00AE7B4A"/>
    <w:rsid w:val="00AF422A"/>
    <w:rsid w:val="00AF7448"/>
    <w:rsid w:val="00B0513F"/>
    <w:rsid w:val="00B40890"/>
    <w:rsid w:val="00B44069"/>
    <w:rsid w:val="00B63075"/>
    <w:rsid w:val="00B93E25"/>
    <w:rsid w:val="00BA042F"/>
    <w:rsid w:val="00BA54E0"/>
    <w:rsid w:val="00BA55E0"/>
    <w:rsid w:val="00BB058C"/>
    <w:rsid w:val="00BC50D5"/>
    <w:rsid w:val="00BC6B2D"/>
    <w:rsid w:val="00BC7D7E"/>
    <w:rsid w:val="00BD7FE8"/>
    <w:rsid w:val="00BE6EDB"/>
    <w:rsid w:val="00BE7F3B"/>
    <w:rsid w:val="00BF51FB"/>
    <w:rsid w:val="00BF6327"/>
    <w:rsid w:val="00C411AE"/>
    <w:rsid w:val="00C504F0"/>
    <w:rsid w:val="00C52C00"/>
    <w:rsid w:val="00C534EF"/>
    <w:rsid w:val="00CA1614"/>
    <w:rsid w:val="00CA79A5"/>
    <w:rsid w:val="00CB251D"/>
    <w:rsid w:val="00CC77C7"/>
    <w:rsid w:val="00CD0E26"/>
    <w:rsid w:val="00CE0048"/>
    <w:rsid w:val="00D0462E"/>
    <w:rsid w:val="00D24251"/>
    <w:rsid w:val="00D32E54"/>
    <w:rsid w:val="00D40CBE"/>
    <w:rsid w:val="00D727BC"/>
    <w:rsid w:val="00D738D7"/>
    <w:rsid w:val="00D77F36"/>
    <w:rsid w:val="00D90FCF"/>
    <w:rsid w:val="00D92AA2"/>
    <w:rsid w:val="00DC6029"/>
    <w:rsid w:val="00DD0E4D"/>
    <w:rsid w:val="00DE4F14"/>
    <w:rsid w:val="00E15037"/>
    <w:rsid w:val="00E3201C"/>
    <w:rsid w:val="00E56A9F"/>
    <w:rsid w:val="00E778BF"/>
    <w:rsid w:val="00EA1B1E"/>
    <w:rsid w:val="00EB53D3"/>
    <w:rsid w:val="00EB69D1"/>
    <w:rsid w:val="00EC1A1E"/>
    <w:rsid w:val="00EC3F94"/>
    <w:rsid w:val="00EC76BA"/>
    <w:rsid w:val="00EE49E0"/>
    <w:rsid w:val="00F026D4"/>
    <w:rsid w:val="00F04FF1"/>
    <w:rsid w:val="00F052C4"/>
    <w:rsid w:val="00F50C6E"/>
    <w:rsid w:val="00F52E86"/>
    <w:rsid w:val="00F637D8"/>
    <w:rsid w:val="00F736B1"/>
    <w:rsid w:val="00F8706E"/>
    <w:rsid w:val="00F94F12"/>
    <w:rsid w:val="00FA2082"/>
    <w:rsid w:val="00FA2438"/>
    <w:rsid w:val="00FA2EB9"/>
    <w:rsid w:val="00FA481B"/>
    <w:rsid w:val="00FA5C2D"/>
    <w:rsid w:val="00FC3FE3"/>
    <w:rsid w:val="00FE3DB9"/>
    <w:rsid w:val="00FE5831"/>
    <w:rsid w:val="00FE6DE9"/>
    <w:rsid w:val="00FF2EB1"/>
    <w:rsid w:val="1DED3F7D"/>
    <w:rsid w:val="32172136"/>
    <w:rsid w:val="58875210"/>
    <w:rsid w:val="6B8A44FA"/>
    <w:rsid w:val="7E7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14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Balloon Text"/>
    <w:basedOn w:val="1"/>
    <w:link w:val="2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header"/>
    <w:basedOn w:val="1"/>
    <w:link w:val="15"/>
    <w:unhideWhenUsed/>
    <w:qFormat/>
    <w:uiPriority w:val="0"/>
    <w:pPr>
      <w:tabs>
        <w:tab w:val="center" w:pos="4677"/>
        <w:tab w:val="right" w:pos="9355"/>
      </w:tabs>
    </w:pPr>
  </w:style>
  <w:style w:type="paragraph" w:styleId="11">
    <w:name w:val="Body Text"/>
    <w:basedOn w:val="1"/>
    <w:link w:val="16"/>
    <w:unhideWhenUsed/>
    <w:qFormat/>
    <w:uiPriority w:val="1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12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13">
    <w:name w:val="Table Grid"/>
    <w:basedOn w:val="6"/>
    <w:qFormat/>
    <w:uiPriority w:val="3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Заголовок 1 Знак"/>
    <w:basedOn w:val="5"/>
    <w:link w:val="2"/>
    <w:qFormat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15">
    <w:name w:val="Верхний колонтитул Знак"/>
    <w:basedOn w:val="5"/>
    <w:link w:val="10"/>
    <w:qFormat/>
    <w:uiPriority w:val="0"/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6">
    <w:name w:val="Основной текст Знак"/>
    <w:basedOn w:val="5"/>
    <w:link w:val="11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17">
    <w:name w:val="futurismarkdown-paragraph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18">
    <w:name w:val="Основной текст_"/>
    <w:basedOn w:val="5"/>
    <w:link w:val="19"/>
    <w:qFormat/>
    <w:uiPriority w:val="0"/>
    <w:rPr>
      <w:rFonts w:ascii="Arial" w:hAnsi="Arial" w:eastAsia="Arial" w:cs="Arial"/>
      <w:sz w:val="18"/>
      <w:szCs w:val="18"/>
    </w:rPr>
  </w:style>
  <w:style w:type="paragraph" w:customStyle="1" w:styleId="19">
    <w:name w:val="Основной текст1"/>
    <w:basedOn w:val="1"/>
    <w:link w:val="18"/>
    <w:qFormat/>
    <w:uiPriority w:val="0"/>
    <w:pPr>
      <w:widowControl w:val="0"/>
      <w:spacing w:after="100" w:line="264" w:lineRule="auto"/>
      <w:ind w:firstLine="0"/>
      <w:jc w:val="left"/>
    </w:pPr>
    <w:rPr>
      <w:rFonts w:ascii="Arial" w:hAnsi="Arial" w:eastAsia="Arial" w:cs="Arial"/>
      <w:kern w:val="0"/>
      <w:sz w:val="18"/>
      <w:szCs w:val="18"/>
      <w14:ligatures w14:val="none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styleId="21">
    <w:name w:val="Placeholder Text"/>
    <w:basedOn w:val="5"/>
    <w:semiHidden/>
    <w:qFormat/>
    <w:uiPriority w:val="99"/>
    <w:rPr>
      <w:color w:val="808080"/>
    </w:rPr>
  </w:style>
  <w:style w:type="character" w:customStyle="1" w:styleId="22">
    <w:name w:val="Текст выноски Знак"/>
    <w:basedOn w:val="5"/>
    <w:link w:val="9"/>
    <w:semiHidden/>
    <w:qFormat/>
    <w:uiPriority w:val="99"/>
    <w:rPr>
      <w:rFonts w:ascii="Tahoma" w:hAnsi="Tahoma" w:cs="Tahoma"/>
      <w:kern w:val="2"/>
      <w:sz w:val="16"/>
      <w:szCs w:val="16"/>
      <w14:ligatures w14:val="standardContextual"/>
    </w:rPr>
  </w:style>
  <w:style w:type="paragraph" w:customStyle="1" w:styleId="2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paragraph" w:customStyle="1" w:styleId="24">
    <w:name w:val="futurismarkdown-listitem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25">
    <w:name w:val="fontstyle01"/>
    <w:basedOn w:val="5"/>
    <w:qFormat/>
    <w:uiPriority w:val="0"/>
    <w:rPr>
      <w:rFonts w:hint="default" w:ascii="CharterITC" w:hAnsi="CharterITC"/>
      <w:color w:val="242021"/>
      <w:sz w:val="22"/>
      <w:szCs w:val="22"/>
    </w:rPr>
  </w:style>
  <w:style w:type="character" w:customStyle="1" w:styleId="26">
    <w:name w:val="Заголовок 3 Знак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kern w:val="2"/>
      <w:sz w:val="24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4B06A-38E4-421F-A435-62988740B1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1853</Words>
  <Characters>14014</Characters>
  <Lines>126</Lines>
  <Paragraphs>35</Paragraphs>
  <TotalTime>0</TotalTime>
  <ScaleCrop>false</ScaleCrop>
  <LinksUpToDate>false</LinksUpToDate>
  <CharactersWithSpaces>15712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2025-03-27T10:48:00Z</dcterms:created>
  <dc:creator>Пользователь</dc:creator>
  <cp:lastModifiedBy>user</cp:lastModifiedBy>
  <dcterms:modified xsi:type="dcterms:W3CDTF">2025-04-16T19:01:45Z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3395A9992A4A439E8AF5B21F2FC0D49C_12</vt:lpwstr>
  </property>
</Properties>
</file>