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BAFFE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73B8CC6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«Алгоритмы управления подсистемами роботов»</w:t>
      </w:r>
    </w:p>
    <w:p w14:paraId="0294582F" w14:textId="77777777" w:rsidR="0023016D" w:rsidRDefault="0023016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07A4CC" w14:textId="77777777" w:rsidR="0023016D" w:rsidRDefault="00603AA3" w:rsidP="008848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1049CF8D" w14:textId="77777777" w:rsidR="0023016D" w:rsidRDefault="00603AA3" w:rsidP="008848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AAC097E" w14:textId="77777777" w:rsidR="00884893" w:rsidRPr="00884893" w:rsidRDefault="00884893" w:rsidP="008848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34F52C99" w14:textId="77777777" w:rsidR="0023016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3CBCACF1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1. Основными задачами теории управления являются:</w:t>
      </w:r>
    </w:p>
    <w:p w14:paraId="2D437EB5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анализа динамических свойств автоматических систем;</w:t>
      </w:r>
    </w:p>
    <w:p w14:paraId="1160A17A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синтеза алгоритма управления;</w:t>
      </w:r>
    </w:p>
    <w:p w14:paraId="431F6FE1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задачи моделирования управляющего сигнала.</w:t>
      </w:r>
    </w:p>
    <w:p w14:paraId="2813EB2C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ответы: А,Б</w:t>
      </w:r>
    </w:p>
    <w:p w14:paraId="1F31C80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53D4AF74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15BE456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5D537FFF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2. По типу сигналов и блоков в системе управления различают</w:t>
      </w:r>
    </w:p>
    <w:p w14:paraId="676241C9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непрерывные системы;</w:t>
      </w:r>
    </w:p>
    <w:p w14:paraId="3F82A84B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детерминированные системы;</w:t>
      </w:r>
    </w:p>
    <w:p w14:paraId="127F0AC8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дискретные системы;</w:t>
      </w:r>
    </w:p>
    <w:p w14:paraId="2ECD63B6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дискретно-непрерывные системы;</w:t>
      </w:r>
    </w:p>
    <w:p w14:paraId="18771AC8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линейные системы.</w:t>
      </w:r>
    </w:p>
    <w:p w14:paraId="2C4B2015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А, В, Г.</w:t>
      </w:r>
    </w:p>
    <w:p w14:paraId="591A8CA9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A9310B9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F5878A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345D760D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3. Изменение состояния объектов управления происходит в результате воздействия на объекты внешних факторов, среди которых выделяют:</w:t>
      </w:r>
    </w:p>
    <w:p w14:paraId="00869E0E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управляющие;</w:t>
      </w:r>
    </w:p>
    <w:p w14:paraId="476A1D95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подавляющие;</w:t>
      </w:r>
    </w:p>
    <w:p w14:paraId="4CFDB432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возмущающие.</w:t>
      </w:r>
    </w:p>
    <w:p w14:paraId="3BF6CA04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А, В.</w:t>
      </w:r>
    </w:p>
    <w:p w14:paraId="05B0CBDB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A894036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E71458A" w14:textId="77777777" w:rsidR="00FD60CD" w:rsidRP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hAnsi="Times New Roman" w:cs="Times New Roman"/>
          <w:i/>
          <w:iCs/>
          <w:sz w:val="28"/>
          <w:szCs w:val="28"/>
        </w:rPr>
        <w:t>Выберите несколько правильных ответов</w:t>
      </w:r>
    </w:p>
    <w:p w14:paraId="4A858484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4. По степени участия человека в функционировании системы управления выделяют</w:t>
      </w:r>
    </w:p>
    <w:p w14:paraId="7F399D6E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автонастраивающаяся система управления</w:t>
      </w:r>
    </w:p>
    <w:p w14:paraId="6059913A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автоматизированная система управления;</w:t>
      </w:r>
    </w:p>
    <w:p w14:paraId="6725391B" w14:textId="77777777" w:rsidR="0023016D" w:rsidRPr="00FD60CD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>) автоматическая система управления.</w:t>
      </w:r>
    </w:p>
    <w:p w14:paraId="1A0CB540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Правильные ответы Б, В.</w:t>
      </w:r>
    </w:p>
    <w:p w14:paraId="74921610" w14:textId="77777777" w:rsid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</w:t>
      </w:r>
    </w:p>
    <w:p w14:paraId="23655E66" w14:textId="77777777" w:rsidR="00FD60CD" w:rsidRDefault="00FD60C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2E328D4" w14:textId="77777777" w:rsidR="0023016D" w:rsidRDefault="00603AA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5FA20237" w14:textId="77777777" w:rsidR="00FD5FDC" w:rsidRPr="00965F4E" w:rsidRDefault="00FD5FDC" w:rsidP="00FD5F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653BD079" w14:textId="77777777" w:rsidR="00FD5FDC" w:rsidRDefault="00FD5FDC" w:rsidP="00FD5F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2B9904B" w14:textId="77777777" w:rsidR="0023016D" w:rsidRDefault="00603AA3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типов систем решаемым задачам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3E15B05" w14:textId="77777777" w:rsidR="00FD5FDC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568"/>
        <w:gridCol w:w="4218"/>
      </w:tblGrid>
      <w:tr w:rsidR="00FD5FDC" w14:paraId="7B60786E" w14:textId="77777777" w:rsidTr="00FD5FDC">
        <w:tc>
          <w:tcPr>
            <w:tcW w:w="675" w:type="dxa"/>
          </w:tcPr>
          <w:p w14:paraId="576DBD7C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280B22C1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стабилизации</w:t>
            </w:r>
          </w:p>
        </w:tc>
        <w:tc>
          <w:tcPr>
            <w:tcW w:w="568" w:type="dxa"/>
          </w:tcPr>
          <w:p w14:paraId="4E40FE62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2E6BDF40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по заранее неизвестному закону (правилу) методом пробных управляющих воздействий с учетом изменения среды и с оценкой результатов воздействий по определенным параметрам.</w:t>
            </w:r>
          </w:p>
        </w:tc>
      </w:tr>
      <w:tr w:rsidR="00FD5FDC" w14:paraId="10BB3A9E" w14:textId="77777777" w:rsidTr="00FD5FDC">
        <w:tc>
          <w:tcPr>
            <w:tcW w:w="675" w:type="dxa"/>
          </w:tcPr>
          <w:p w14:paraId="3EF92087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7661AB96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Системы программного управления</w:t>
            </w:r>
          </w:p>
        </w:tc>
        <w:tc>
          <w:tcPr>
            <w:tcW w:w="568" w:type="dxa"/>
          </w:tcPr>
          <w:p w14:paraId="1C00A3D0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5F992206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Поддерживание некоторых управляемых переменных системы y(t) на заданном постоянном уровне.</w:t>
            </w:r>
          </w:p>
        </w:tc>
      </w:tr>
      <w:tr w:rsidR="00FD5FDC" w14:paraId="3BDB47CE" w14:textId="77777777" w:rsidTr="00FD5FDC">
        <w:tc>
          <w:tcPr>
            <w:tcW w:w="675" w:type="dxa"/>
          </w:tcPr>
          <w:p w14:paraId="79C46B3A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7F529A3C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Следящие системы</w:t>
            </w:r>
          </w:p>
        </w:tc>
        <w:tc>
          <w:tcPr>
            <w:tcW w:w="568" w:type="dxa"/>
          </w:tcPr>
          <w:p w14:paraId="1EF3EDE7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0EFA855F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выходной величины путем слежения за произвольно изменяемым во времени входным управляющим воздействием.</w:t>
            </w:r>
          </w:p>
        </w:tc>
      </w:tr>
      <w:tr w:rsidR="00FD5FDC" w14:paraId="7060B3B6" w14:textId="77777777" w:rsidTr="00FD5FDC">
        <w:tc>
          <w:tcPr>
            <w:tcW w:w="675" w:type="dxa"/>
          </w:tcPr>
          <w:p w14:paraId="665E8FD0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54C00091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Адаптивные системы</w:t>
            </w:r>
          </w:p>
        </w:tc>
        <w:tc>
          <w:tcPr>
            <w:tcW w:w="568" w:type="dxa"/>
          </w:tcPr>
          <w:p w14:paraId="64E2AAFE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66C6B6D3" w14:textId="77777777" w:rsidR="00FD5FDC" w:rsidRDefault="00FD5FDC" w:rsidP="00FD5F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Программные изменения управляемых переменных системы по заданному закону (правилу, программе).</w:t>
            </w:r>
          </w:p>
        </w:tc>
      </w:tr>
    </w:tbl>
    <w:p w14:paraId="48DB3F0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23016D" w14:paraId="389DB6A9" w14:textId="77777777" w:rsidTr="00884893">
        <w:trPr>
          <w:jc w:val="center"/>
        </w:trPr>
        <w:tc>
          <w:tcPr>
            <w:tcW w:w="2392" w:type="dxa"/>
          </w:tcPr>
          <w:p w14:paraId="1E0D0D2A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75BECB23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3383F779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68B9BD3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016D" w14:paraId="2B702F74" w14:textId="77777777" w:rsidTr="00884893">
        <w:trPr>
          <w:jc w:val="center"/>
        </w:trPr>
        <w:tc>
          <w:tcPr>
            <w:tcW w:w="2392" w:type="dxa"/>
          </w:tcPr>
          <w:p w14:paraId="157541A5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4E641F06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7206F8FA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108A79D2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9D9378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6D340D55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F0672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устройств управления субъекту или объекту управления: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567"/>
        <w:gridCol w:w="4360"/>
      </w:tblGrid>
      <w:tr w:rsidR="00FD5FDC" w14:paraId="41B29E37" w14:textId="77777777" w:rsidTr="00FD5FDC">
        <w:tc>
          <w:tcPr>
            <w:tcW w:w="817" w:type="dxa"/>
          </w:tcPr>
          <w:p w14:paraId="21B2CF0A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27" w:type="dxa"/>
          </w:tcPr>
          <w:p w14:paraId="63BD741F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Субъект управления</w:t>
            </w:r>
          </w:p>
        </w:tc>
        <w:tc>
          <w:tcPr>
            <w:tcW w:w="567" w:type="dxa"/>
          </w:tcPr>
          <w:p w14:paraId="761CA529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14:paraId="43F8FA99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устройство или процесс, на который направляется управляющее воздействие</w:t>
            </w:r>
          </w:p>
        </w:tc>
      </w:tr>
      <w:tr w:rsidR="00FD5FDC" w14:paraId="13A151D7" w14:textId="77777777" w:rsidTr="00FD5FDC">
        <w:tc>
          <w:tcPr>
            <w:tcW w:w="817" w:type="dxa"/>
          </w:tcPr>
          <w:p w14:paraId="7C6C8DA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27" w:type="dxa"/>
          </w:tcPr>
          <w:p w14:paraId="6B8237AC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управления</w:t>
            </w:r>
          </w:p>
        </w:tc>
        <w:tc>
          <w:tcPr>
            <w:tcW w:w="567" w:type="dxa"/>
          </w:tcPr>
          <w:p w14:paraId="7D9EA7C2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14:paraId="4A96BB6E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Это устройство, которое осуществляет управление</w:t>
            </w:r>
          </w:p>
        </w:tc>
      </w:tr>
    </w:tbl>
    <w:p w14:paraId="2ECD67A5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0DE3C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c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23016D" w14:paraId="7E06AC82" w14:textId="77777777" w:rsidTr="00884893">
        <w:trPr>
          <w:jc w:val="center"/>
        </w:trPr>
        <w:tc>
          <w:tcPr>
            <w:tcW w:w="4784" w:type="dxa"/>
          </w:tcPr>
          <w:p w14:paraId="44E93EE3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431E5744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016D" w14:paraId="25F0120B" w14:textId="77777777" w:rsidTr="00884893">
        <w:trPr>
          <w:jc w:val="center"/>
        </w:trPr>
        <w:tc>
          <w:tcPr>
            <w:tcW w:w="4784" w:type="dxa"/>
          </w:tcPr>
          <w:p w14:paraId="6114EB24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787" w:type="dxa"/>
          </w:tcPr>
          <w:p w14:paraId="7A8D9DEA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5F1098A" w14:textId="77777777" w:rsidR="0023016D" w:rsidRDefault="00603AA3" w:rsidP="00FD60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0B07A8E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 Установите соответствие систем управления в зависимости от выбранной характеристики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FE89C56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110"/>
        <w:gridCol w:w="567"/>
        <w:gridCol w:w="4360"/>
      </w:tblGrid>
      <w:tr w:rsidR="00FD5FDC" w14:paraId="3D805245" w14:textId="77777777" w:rsidTr="00FD5FDC">
        <w:tc>
          <w:tcPr>
            <w:tcW w:w="534" w:type="dxa"/>
          </w:tcPr>
          <w:p w14:paraId="59C25BF8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104F12F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виду уравнений СУ</w:t>
            </w:r>
          </w:p>
        </w:tc>
        <w:tc>
          <w:tcPr>
            <w:tcW w:w="567" w:type="dxa"/>
          </w:tcPr>
          <w:p w14:paraId="44962C7F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60" w:type="dxa"/>
          </w:tcPr>
          <w:p w14:paraId="5035DD87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Детерменированные-стохастические</w:t>
            </w:r>
          </w:p>
        </w:tc>
      </w:tr>
      <w:tr w:rsidR="00FD5FDC" w14:paraId="4A632884" w14:textId="77777777" w:rsidTr="00FD5FDC">
        <w:tc>
          <w:tcPr>
            <w:tcW w:w="534" w:type="dxa"/>
          </w:tcPr>
          <w:p w14:paraId="7EE0ECD1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15EA0045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передачи сигнала</w:t>
            </w:r>
          </w:p>
        </w:tc>
        <w:tc>
          <w:tcPr>
            <w:tcW w:w="567" w:type="dxa"/>
          </w:tcPr>
          <w:p w14:paraId="4D1911BC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</w:tcPr>
          <w:p w14:paraId="55CA3BC0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заданным качеством</w:t>
            </w:r>
          </w:p>
        </w:tc>
      </w:tr>
      <w:tr w:rsidR="00FD5FDC" w14:paraId="159FC86E" w14:textId="77777777" w:rsidTr="00FD5FDC">
        <w:tc>
          <w:tcPr>
            <w:tcW w:w="534" w:type="dxa"/>
          </w:tcPr>
          <w:p w14:paraId="59161BC8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40349A9A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характеру процессов в системе</w:t>
            </w:r>
          </w:p>
        </w:tc>
        <w:tc>
          <w:tcPr>
            <w:tcW w:w="567" w:type="dxa"/>
          </w:tcPr>
          <w:p w14:paraId="3D1BE2B5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</w:tcPr>
          <w:p w14:paraId="71D50EA5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Стационарные-нестационарные</w:t>
            </w:r>
          </w:p>
        </w:tc>
      </w:tr>
      <w:tr w:rsidR="00FD5FDC" w14:paraId="7C2EC7C3" w14:textId="77777777" w:rsidTr="00FD5FDC">
        <w:tc>
          <w:tcPr>
            <w:tcW w:w="534" w:type="dxa"/>
          </w:tcPr>
          <w:p w14:paraId="2DD8DA6F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7340B02F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критерию качества</w:t>
            </w:r>
          </w:p>
        </w:tc>
        <w:tc>
          <w:tcPr>
            <w:tcW w:w="567" w:type="dxa"/>
          </w:tcPr>
          <w:p w14:paraId="13B3EF71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60" w:type="dxa"/>
          </w:tcPr>
          <w:p w14:paraId="78F578F8" w14:textId="77777777" w:rsidR="00FD5FDC" w:rsidRDefault="00FD5FDC" w:rsidP="00FD60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Непрерывные-дискретные</w:t>
            </w:r>
          </w:p>
        </w:tc>
      </w:tr>
    </w:tbl>
    <w:p w14:paraId="29B285D8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C568A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11"/>
        <w:gridCol w:w="2375"/>
        <w:gridCol w:w="2375"/>
      </w:tblGrid>
      <w:tr w:rsidR="0023016D" w14:paraId="67E08DD2" w14:textId="77777777" w:rsidTr="00884893">
        <w:tc>
          <w:tcPr>
            <w:tcW w:w="2410" w:type="dxa"/>
          </w:tcPr>
          <w:p w14:paraId="704C25C1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34515693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75" w:type="dxa"/>
          </w:tcPr>
          <w:p w14:paraId="2F7309D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75" w:type="dxa"/>
          </w:tcPr>
          <w:p w14:paraId="6B4C442E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3016D" w14:paraId="7D2386DA" w14:textId="77777777" w:rsidTr="00884893">
        <w:tc>
          <w:tcPr>
            <w:tcW w:w="2410" w:type="dxa"/>
          </w:tcPr>
          <w:p w14:paraId="2CADADE5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1DF506A8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75" w:type="dxa"/>
          </w:tcPr>
          <w:p w14:paraId="5C0D140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75" w:type="dxa"/>
          </w:tcPr>
          <w:p w14:paraId="7CC71953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6F9433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33949615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4E7C3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типам функций принадлежности нечетких множеств их математическое определение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BFF5876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567"/>
        <w:gridCol w:w="5635"/>
      </w:tblGrid>
      <w:tr w:rsidR="00FD5FDC" w14:paraId="126BC628" w14:textId="77777777" w:rsidTr="00DD1EAB">
        <w:tc>
          <w:tcPr>
            <w:tcW w:w="534" w:type="dxa"/>
          </w:tcPr>
          <w:p w14:paraId="3DF19FF4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79921B7E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Линейная</w:t>
            </w:r>
          </w:p>
        </w:tc>
        <w:tc>
          <w:tcPr>
            <w:tcW w:w="567" w:type="dxa"/>
          </w:tcPr>
          <w:p w14:paraId="7535B864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28EFCBD7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A3C85A3" wp14:editId="1EDF8001">
                  <wp:extent cx="1838325" cy="601987"/>
                  <wp:effectExtent l="0" t="0" r="0" b="0"/>
                  <wp:docPr id="1" name="image4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6019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55947A84" w14:textId="77777777" w:rsidTr="00DD1EAB">
        <w:tc>
          <w:tcPr>
            <w:tcW w:w="534" w:type="dxa"/>
          </w:tcPr>
          <w:p w14:paraId="4B9DB835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7CB0B49F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</w:tc>
        <w:tc>
          <w:tcPr>
            <w:tcW w:w="567" w:type="dxa"/>
          </w:tcPr>
          <w:p w14:paraId="220E4321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18321D2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F3E6C45" wp14:editId="18CC7EF7">
                  <wp:extent cx="1828800" cy="577516"/>
                  <wp:effectExtent l="0" t="0" r="0" b="0"/>
                  <wp:docPr id="2" name="image3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5775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42FFA336" w14:textId="77777777" w:rsidTr="00DD1EAB">
        <w:tc>
          <w:tcPr>
            <w:tcW w:w="534" w:type="dxa"/>
          </w:tcPr>
          <w:p w14:paraId="3C2CF9A3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2471BA55" w14:textId="77777777" w:rsidR="00FD5FDC" w:rsidRPr="00AB61AC" w:rsidRDefault="00FD5FDC" w:rsidP="00DD1EA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</w:tc>
        <w:tc>
          <w:tcPr>
            <w:tcW w:w="567" w:type="dxa"/>
          </w:tcPr>
          <w:p w14:paraId="3A0619BC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17160662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82F92C8" wp14:editId="541F06AE">
                  <wp:extent cx="1971675" cy="1124688"/>
                  <wp:effectExtent l="0" t="0" r="0" b="0"/>
                  <wp:docPr id="3" name="image3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32C8F3B2" w14:textId="77777777" w:rsidTr="00DD1EAB">
        <w:tc>
          <w:tcPr>
            <w:tcW w:w="534" w:type="dxa"/>
          </w:tcPr>
          <w:p w14:paraId="64251EA4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35" w:type="dxa"/>
          </w:tcPr>
          <w:p w14:paraId="7F15531D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Прямоугольная</w:t>
            </w:r>
          </w:p>
        </w:tc>
        <w:tc>
          <w:tcPr>
            <w:tcW w:w="567" w:type="dxa"/>
          </w:tcPr>
          <w:p w14:paraId="7022820F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76E46378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5501D26" wp14:editId="2D7B0FC6">
                  <wp:extent cx="1851734" cy="545477"/>
                  <wp:effectExtent l="0" t="0" r="0" b="0"/>
                  <wp:docPr id="4" name="image5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734" cy="54547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31C6861D" w14:textId="77777777" w:rsidTr="00DD1EAB">
        <w:tc>
          <w:tcPr>
            <w:tcW w:w="534" w:type="dxa"/>
          </w:tcPr>
          <w:p w14:paraId="6239CC4D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835" w:type="dxa"/>
          </w:tcPr>
          <w:p w14:paraId="5E5FA19A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Функция Гаусса</w:t>
            </w:r>
          </w:p>
        </w:tc>
        <w:tc>
          <w:tcPr>
            <w:tcW w:w="567" w:type="dxa"/>
          </w:tcPr>
          <w:p w14:paraId="15C785E9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635" w:type="dxa"/>
          </w:tcPr>
          <w:p w14:paraId="226903E1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518F804" wp14:editId="09EFB089">
                  <wp:extent cx="2162175" cy="1149607"/>
                  <wp:effectExtent l="0" t="0" r="0" b="0"/>
                  <wp:docPr id="5" name="image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DC" w14:paraId="66EA7D21" w14:textId="77777777" w:rsidTr="00DD1EAB">
        <w:tc>
          <w:tcPr>
            <w:tcW w:w="534" w:type="dxa"/>
          </w:tcPr>
          <w:p w14:paraId="2813C2EE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2835" w:type="dxa"/>
          </w:tcPr>
          <w:p w14:paraId="1929E760" w14:textId="77777777" w:rsidR="00FD5FDC" w:rsidRPr="00AB61AC" w:rsidRDefault="00FD5FDC" w:rsidP="00DD1EAB">
            <w:r w:rsidRPr="00AB61AC">
              <w:rPr>
                <w:rFonts w:ascii="Times New Roman" w:eastAsia="Times New Roman" w:hAnsi="Times New Roman" w:cs="Times New Roman"/>
                <w:sz w:val="28"/>
                <w:szCs w:val="28"/>
              </w:rPr>
              <w:t>Сингелтон-функция</w:t>
            </w:r>
          </w:p>
        </w:tc>
        <w:tc>
          <w:tcPr>
            <w:tcW w:w="567" w:type="dxa"/>
          </w:tcPr>
          <w:p w14:paraId="779E0937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5635" w:type="dxa"/>
          </w:tcPr>
          <w:p w14:paraId="04D47DCB" w14:textId="77777777" w:rsidR="00FD5FDC" w:rsidRDefault="00FD5FDC" w:rsidP="00DD1E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09A5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B542DA5" wp14:editId="7767DD6B">
                  <wp:extent cx="2171700" cy="996973"/>
                  <wp:effectExtent l="0" t="0" r="0" b="0"/>
                  <wp:docPr id="6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9969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F5785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5D5ECF" w14:textId="77777777" w:rsidR="00FD5FDC" w:rsidRDefault="00FD5FDC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0B0EB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FD5FDC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tbl>
      <w:tblPr>
        <w:tblStyle w:val="af0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23016D" w14:paraId="294BD04F" w14:textId="77777777" w:rsidTr="00884893">
        <w:tc>
          <w:tcPr>
            <w:tcW w:w="1595" w:type="dxa"/>
          </w:tcPr>
          <w:p w14:paraId="293FF1A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15253FA0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51068EF4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14:paraId="03A6F877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14:paraId="3796AE32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14:paraId="2AA57A26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016D" w14:paraId="35290AA1" w14:textId="77777777" w:rsidTr="00884893">
        <w:tc>
          <w:tcPr>
            <w:tcW w:w="1595" w:type="dxa"/>
          </w:tcPr>
          <w:p w14:paraId="5C832BA2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595" w:type="dxa"/>
          </w:tcPr>
          <w:p w14:paraId="2F2DC3E3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95" w:type="dxa"/>
          </w:tcPr>
          <w:p w14:paraId="09C0B3BC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95" w:type="dxa"/>
          </w:tcPr>
          <w:p w14:paraId="40BBE5B9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0368CD6B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6" w:type="dxa"/>
          </w:tcPr>
          <w:p w14:paraId="669D21DD" w14:textId="77777777" w:rsidR="0023016D" w:rsidRDefault="00603AA3" w:rsidP="00FD60C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289992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ПК-1.2.</w:t>
      </w:r>
    </w:p>
    <w:p w14:paraId="73C6599E" w14:textId="77777777" w:rsidR="00FD60CD" w:rsidRDefault="00FD60CD" w:rsidP="00FD60C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1B68EF6D" w14:textId="77777777" w:rsidR="0023016D" w:rsidRDefault="00603AA3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3B5D7BB" w14:textId="77777777" w:rsidR="00FD5FDC" w:rsidRPr="00965F4E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1221DE14" w14:textId="77777777" w:rsidR="00FD5FDC" w:rsidRDefault="00FD5FDC" w:rsidP="00FD5F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851612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правильной последовательности  передаточные функции объекта управления в зависимости от возрастания времени переходного процесса</w:t>
      </w:r>
    </w:p>
    <w:p w14:paraId="25083436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079" w:dyaOrig="620" w14:anchorId="66A640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85pt;height:30.85pt" o:ole="">
            <v:imagedata r:id="rId13" o:title=""/>
          </v:shape>
          <o:OLEObject Type="Embed" ProgID="Equation.3" ShapeID="_x0000_i1025" DrawAspect="Content" ObjectID="_1804976280" r:id="rId14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C7D3CF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160" w:dyaOrig="620" w14:anchorId="13125266">
          <v:shape id="_x0000_i1026" type="#_x0000_t75" style="width:108.45pt;height:30.85pt" o:ole="">
            <v:imagedata r:id="rId15" o:title=""/>
          </v:shape>
          <o:OLEObject Type="Embed" ProgID="Equation.3" ShapeID="_x0000_i1026" DrawAspect="Content" ObjectID="_1804976281" r:id="rId16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B157E05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620" w:dyaOrig="620" w14:anchorId="40EFC1CF">
          <v:shape id="_x0000_i1027" type="#_x0000_t75" style="width:80.4pt;height:30.85pt" o:ole="">
            <v:imagedata r:id="rId17" o:title=""/>
          </v:shape>
          <o:OLEObject Type="Embed" ProgID="Equation.3" ShapeID="_x0000_i1027" DrawAspect="Content" ObjectID="_1804976282" r:id="rId18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2906D2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А, Б.</w:t>
      </w:r>
    </w:p>
    <w:p w14:paraId="79B7EA7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1FAC03FA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213F5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в правильной последовательности передаточные функции объекта управления в зависимости от возрастания величины пререгулирования:</w:t>
      </w:r>
    </w:p>
    <w:p w14:paraId="078815A6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079" w:dyaOrig="620" w14:anchorId="48EB093A">
          <v:shape id="_x0000_i1028" type="#_x0000_t75" style="width:102.85pt;height:30.85pt" o:ole="">
            <v:imagedata r:id="rId19" o:title=""/>
          </v:shape>
          <o:OLEObject Type="Embed" ProgID="Equation.3" ShapeID="_x0000_i1028" DrawAspect="Content" ObjectID="_1804976283" r:id="rId20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AB32C64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920" w:dyaOrig="620" w14:anchorId="7BCDC68A">
          <v:shape id="_x0000_i1029" type="#_x0000_t75" style="width:95.4pt;height:30.85pt" o:ole="">
            <v:imagedata r:id="rId21" o:title=""/>
          </v:shape>
          <o:OLEObject Type="Embed" ProgID="Equation.3" ShapeID="_x0000_i1029" DrawAspect="Content" ObjectID="_1804976284" r:id="rId22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BABCD1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Pr="000C4D4F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1900" w:dyaOrig="620" w14:anchorId="20469F7C">
          <v:shape id="_x0000_i1030" type="#_x0000_t75" style="width:95.4pt;height:30.85pt" o:ole="">
            <v:imagedata r:id="rId23" o:title=""/>
          </v:shape>
          <o:OLEObject Type="Embed" ProgID="Equation.3" ShapeID="_x0000_i1030" DrawAspect="Content" ObjectID="_1804976285" r:id="rId24"/>
        </w:objec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EA522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А, В, Б.</w:t>
      </w:r>
    </w:p>
    <w:p w14:paraId="7C5E6CC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4D80A4A7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396CB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в правильной последовательности этапы процесса обработки нечеткой информации в блоке фаззификации:</w:t>
      </w:r>
    </w:p>
    <w:p w14:paraId="450C7E59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Аккумуляция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B57FC52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Агрегация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9777D0D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Импликация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053C7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Б, В, А.</w:t>
      </w:r>
    </w:p>
    <w:p w14:paraId="4BED1B1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6234F8E0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3C9A1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алгоритм перемещения детали в точку цели на языке ARPS:</w:t>
      </w:r>
    </w:p>
    <w:p w14:paraId="20EF5F36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OPEN</w:t>
      </w:r>
    </w:p>
    <w:p w14:paraId="1A2456B6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GONEAR BOX, 100</w:t>
      </w:r>
    </w:p>
    <w:p w14:paraId="7F1F5184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GONEAR PART, 50</w:t>
      </w:r>
    </w:p>
    <w:p w14:paraId="6F872724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GONEAR , 150</w:t>
      </w:r>
    </w:p>
    <w:p w14:paraId="2EF58963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GOSNEAR ,150</w:t>
      </w:r>
    </w:p>
    <w:p w14:paraId="1CA477CE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GO BOX</w:t>
      </w:r>
    </w:p>
    <w:p w14:paraId="6C94CF55" w14:textId="77777777" w:rsidR="0023016D" w:rsidRPr="00884893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="00603AA3"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) CLOSE</w:t>
      </w:r>
    </w:p>
    <w:p w14:paraId="23E2E43F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603AA3">
        <w:rPr>
          <w:rFonts w:ascii="Times New Roman" w:eastAsia="Times New Roman" w:hAnsi="Times New Roman" w:cs="Times New Roman"/>
          <w:sz w:val="28"/>
          <w:szCs w:val="28"/>
        </w:rPr>
        <w:t>)</w:t>
      </w:r>
      <w:r w:rsidR="00603AA3" w:rsidRPr="00FD60CD">
        <w:rPr>
          <w:rFonts w:ascii="Times New Roman" w:eastAsia="Times New Roman" w:hAnsi="Times New Roman" w:cs="Times New Roman"/>
          <w:sz w:val="28"/>
          <w:szCs w:val="28"/>
        </w:rPr>
        <w:t xml:space="preserve"> GOS PART</w:t>
      </w:r>
    </w:p>
    <w:p w14:paraId="525AFBC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 В, З, Д, Ж, Б, Е, А, Г</w:t>
      </w:r>
    </w:p>
    <w:p w14:paraId="077B138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17A83DDE" w14:textId="77777777" w:rsidR="0023016D" w:rsidRDefault="0023016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5A26BF" w14:textId="77777777" w:rsidR="0023016D" w:rsidRDefault="00603AA3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198D309A" w14:textId="77777777" w:rsidR="000C4D4F" w:rsidRPr="006F1C49" w:rsidRDefault="000C4D4F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88E34CC" w14:textId="77777777" w:rsidR="000C4D4F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8C606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зависимости от способа кодирования различают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__________сигналы.</w:t>
      </w:r>
    </w:p>
    <w:p w14:paraId="3E5C527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аналоговые и цифровые.</w:t>
      </w:r>
    </w:p>
    <w:p w14:paraId="76D5B99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003E8FF6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256E4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Программа управления жестко задана в УУ и влияние возмущений на параметры процессов не учитывается в случае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__________управления.</w:t>
      </w:r>
    </w:p>
    <w:p w14:paraId="6603EC6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разомкнутого.</w:t>
      </w:r>
    </w:p>
    <w:p w14:paraId="3F90775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43F3B98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DDFAC8" w14:textId="77777777" w:rsidR="000C4D4F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Ошибки в системе управления учитываются благодаря наличию____.</w:t>
      </w:r>
    </w:p>
    <w:p w14:paraId="66EA85D9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обратн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ой связи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1DC2B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6C34A4E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06872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Элемент системы управления, умножающий разность между текущим значением выходного сигнала и значением выхода в предыдущий момент времени на какой-то постоянный коэффициент – это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___________.</w:t>
      </w:r>
    </w:p>
    <w:p w14:paraId="2E7B9D7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дифференциатор.</w:t>
      </w:r>
    </w:p>
    <w:p w14:paraId="57549DF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43E0937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F46B0E" w14:textId="77777777" w:rsidR="0023016D" w:rsidRDefault="00603AA3" w:rsidP="000C4D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4DBBDD63" w14:textId="77777777" w:rsidR="000C4D4F" w:rsidRPr="006F1C49" w:rsidRDefault="000C4D4F" w:rsidP="000C4D4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B290EFC" w14:textId="77777777" w:rsidR="000C4D4F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30A23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Современный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электропривод является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используемый в робототехнике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CC6C41" w14:textId="77777777" w:rsidR="0023016D" w:rsidRDefault="000C4D4F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автоматизированным.</w:t>
      </w:r>
    </w:p>
    <w:p w14:paraId="0A61C3A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639B5619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42F00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Метод, используемый для быстрой, приближенной оценки значений параметров настройки промышленных типовых регуляторов называется________</w:t>
      </w:r>
    </w:p>
    <w:p w14:paraId="77FEE21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формульный метод определения настроек регулятора/формульный метод/формульным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34198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Компетенции (индикаторы): ПК-1.1.</w:t>
      </w:r>
    </w:p>
    <w:p w14:paraId="51C4C223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588DF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Метод настройки параметров ПИД-регулятора, в котором для расчетов используется только два из трех параметров, характеризующих объект управления </w:t>
      </w:r>
      <w:r w:rsidR="000C4D4F" w:rsidRPr="000C4D4F">
        <w:rPr>
          <w:rFonts w:ascii="Times New Roman" w:eastAsia="Times New Roman" w:hAnsi="Times New Roman" w:cs="Times New Roman"/>
          <w:position w:val="-14"/>
          <w:sz w:val="28"/>
          <w:szCs w:val="28"/>
        </w:rPr>
        <w:object w:dxaOrig="400" w:dyaOrig="380" w14:anchorId="50611B8E">
          <v:shape id="_x0000_i1031" type="#_x0000_t75" style="width:20.55pt;height:18.7pt" o:ole="">
            <v:imagedata r:id="rId25" o:title=""/>
          </v:shape>
          <o:OLEObject Type="Embed" ProgID="Equation.3" ShapeID="_x0000_i1031" DrawAspect="Content" ObjectID="_1804976286" r:id="rId2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C4D4F" w:rsidRPr="000C4D4F">
        <w:rPr>
          <w:rFonts w:ascii="Times New Roman" w:eastAsia="Times New Roman" w:hAnsi="Times New Roman" w:cs="Times New Roman"/>
          <w:position w:val="-6"/>
          <w:sz w:val="28"/>
          <w:szCs w:val="28"/>
        </w:rPr>
        <w:object w:dxaOrig="200" w:dyaOrig="220" w14:anchorId="386B09AD">
          <v:shape id="_x0000_i1032" type="#_x0000_t75" style="width:10.3pt;height:10.3pt" o:ole="">
            <v:imagedata r:id="rId27" o:title=""/>
          </v:shape>
          <o:OLEObject Type="Embed" ProgID="Equation.3" ShapeID="_x0000_i1032" DrawAspect="Content" ObjectID="_1804976287" r:id="rId2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называется ____________________</w:t>
      </w:r>
    </w:p>
    <w:p w14:paraId="544BCB2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метод незатухающих колебаний/метод Циглера-Николса.</w:t>
      </w:r>
    </w:p>
    <w:p w14:paraId="7ABD3908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4841EC01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07C53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Наиболее распространенным методом дефаззификации является_______ </w:t>
      </w:r>
    </w:p>
    <w:p w14:paraId="5924D90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гравитационный  метод/метод центра масс.</w:t>
      </w:r>
    </w:p>
    <w:p w14:paraId="75A7589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2FFE20F3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42D56E" w14:textId="77777777" w:rsidR="0023016D" w:rsidRDefault="00603AA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7602BDE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схеме системы управления с отрицательной обратной связью определить передаточную функцию системы управления:</w:t>
      </w:r>
    </w:p>
    <w:p w14:paraId="623CBBDB" w14:textId="77777777" w:rsidR="0023016D" w:rsidRDefault="00603AA3" w:rsidP="00FD60CD">
      <w:pPr>
        <w:jc w:val="center"/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D5F0BAF" wp14:editId="4250309C">
            <wp:extent cx="5216268" cy="2457450"/>
            <wp:effectExtent l="0" t="0" r="3810" b="0"/>
            <wp:docPr id="222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92" cy="2459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FFB88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435698B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C2E5D01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передаточную функцию ПИД-регулятора.</w:t>
      </w:r>
    </w:p>
    <w:p w14:paraId="49B2E11B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передаточную функцию прямой связи системы управления с ПИД-регулятором.</w:t>
      </w:r>
    </w:p>
    <w:p w14:paraId="6E729874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Определяем передаточную функцию системы управления с отрицательной обратной связью от величины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480" w:dyaOrig="340" w14:anchorId="1965AA37">
          <v:shape id="_x0000_i1033" type="#_x0000_t75" style="width:23.4pt;height:16.85pt" o:ole="">
            <v:imagedata r:id="rId30" o:title=""/>
          </v:shape>
          <o:OLEObject Type="Embed" ProgID="Equation.3" ShapeID="_x0000_i1033" DrawAspect="Content" ObjectID="_1804976288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величине </w:t>
      </w:r>
      <w:r w:rsidRPr="00C925A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540" w:dyaOrig="340" w14:anchorId="6C3FB5C7">
          <v:shape id="_x0000_i1034" type="#_x0000_t75" style="width:27.1pt;height:16.85pt" o:ole="">
            <v:imagedata r:id="rId32" o:title=""/>
          </v:shape>
          <o:OLEObject Type="Embed" ProgID="Equation.3" ShapeID="_x0000_i1034" DrawAspect="Content" ObjectID="_1804976289" r:id="rId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D4F9D91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25C8E3B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всех пунктов из ожидаемого результата.</w:t>
      </w:r>
    </w:p>
    <w:p w14:paraId="23C93D0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7A364BD1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0785D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Используя программные инструкции устройства числового программного управления «СФЕРА-56» реализовать на языке ARPS программу, позволяющую манипулятору реализовать следующие действия:</w:t>
      </w:r>
    </w:p>
    <w:p w14:paraId="0BA56431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Включить питание приводов манипулятора</w:t>
      </w:r>
    </w:p>
    <w:p w14:paraId="6301674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детали</w:t>
      </w:r>
    </w:p>
    <w:p w14:paraId="47E48AA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приемника</w:t>
      </w:r>
    </w:p>
    <w:p w14:paraId="25A708E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300 мм/с</w:t>
      </w:r>
    </w:p>
    <w:p w14:paraId="140E15B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в точку над деталью на высоте 50 см</w:t>
      </w:r>
    </w:p>
    <w:p w14:paraId="7B62AD2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для последующей операции 10 мм/с</w:t>
      </w:r>
    </w:p>
    <w:p w14:paraId="139944B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к детали с предварительным размыканием схвата</w:t>
      </w:r>
    </w:p>
    <w:p w14:paraId="79EE56C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Смыкание схвата</w:t>
      </w:r>
    </w:p>
    <w:p w14:paraId="47840DD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манипулятора 200 мм/с</w:t>
      </w:r>
    </w:p>
    <w:p w14:paraId="30150E5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детали на высоту 120 см</w:t>
      </w:r>
    </w:p>
    <w:p w14:paraId="32D3C96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Перемещение в точку над приемником на высоте 5 см</w:t>
      </w:r>
    </w:p>
    <w:p w14:paraId="01E2CEF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Размыкание схвата через 30 сек.</w:t>
      </w:r>
    </w:p>
    <w:p w14:paraId="752B6D7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схвата над точкой цели на высоту 150 см</w:t>
      </w:r>
    </w:p>
    <w:p w14:paraId="1E1358D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0C4D4F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</w:t>
      </w:r>
    </w:p>
    <w:p w14:paraId="6744A63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FAA8CD0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POWER ON </w:t>
      </w:r>
    </w:p>
    <w:p w14:paraId="5CE8DDCE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HERE DETAIL</w:t>
      </w:r>
    </w:p>
    <w:p w14:paraId="6C92044C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HERE BOX</w:t>
      </w:r>
    </w:p>
    <w:p w14:paraId="38BBB6FE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SPEED 300</w:t>
      </w:r>
    </w:p>
    <w:p w14:paraId="146810F5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DETAIL,50</w:t>
      </w:r>
    </w:p>
    <w:p w14:paraId="775F42F2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SPEED NEXT 10</w:t>
      </w:r>
    </w:p>
    <w:p w14:paraId="1C9823BE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GO&amp;OPEN DETAIL</w:t>
      </w:r>
    </w:p>
    <w:p w14:paraId="13A0042C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CLOSE</w:t>
      </w:r>
    </w:p>
    <w:p w14:paraId="7CCCBEC8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SPEED 200</w:t>
      </w:r>
    </w:p>
    <w:p w14:paraId="55C004B4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DETAIL,120</w:t>
      </w:r>
    </w:p>
    <w:p w14:paraId="42814595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GONEAR BOX,5</w:t>
      </w:r>
    </w:p>
    <w:p w14:paraId="745736F3" w14:textId="77777777" w:rsidR="0023016D" w:rsidRPr="00884893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84893">
        <w:rPr>
          <w:rFonts w:ascii="Times New Roman" w:eastAsia="Times New Roman" w:hAnsi="Times New Roman" w:cs="Times New Roman"/>
          <w:sz w:val="28"/>
          <w:szCs w:val="28"/>
          <w:lang w:val="en-US"/>
        </w:rPr>
        <w:t>ODELAY 30</w:t>
      </w:r>
    </w:p>
    <w:p w14:paraId="50E3EF9A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t>GONEAR BOX,150</w:t>
      </w:r>
    </w:p>
    <w:p w14:paraId="536BD35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6A98909E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F0E49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объекта управления, представленного передаточной функцией вида </w:t>
      </w:r>
      <w:r w:rsidR="000C4D4F" w:rsidRPr="000C4D4F">
        <w:rPr>
          <w:rFonts w:ascii="Times New Roman" w:eastAsia="Times New Roman" w:hAnsi="Times New Roman" w:cs="Times New Roman"/>
          <w:position w:val="-28"/>
          <w:sz w:val="28"/>
          <w:szCs w:val="28"/>
        </w:rPr>
        <w:object w:dxaOrig="2260" w:dyaOrig="660" w14:anchorId="632D7D2A">
          <v:shape id="_x0000_i1035" type="#_x0000_t75" style="width:113.15pt;height:32.75pt" o:ole="">
            <v:imagedata r:id="rId34" o:title=""/>
          </v:shape>
          <o:OLEObject Type="Embed" ProgID="Equation.3" ShapeID="_x0000_i1035" DrawAspect="Content" ObjectID="_1804976290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297DB9D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574E354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E5FDBE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6E83522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960" w:dyaOrig="645" w14:anchorId="6327A76C">
          <v:shape id="_x0000_i1036" type="#_x0000_t75" style="width:48.6pt;height:31.8pt" o:ole="">
            <v:imagedata r:id="rId36" o:title=""/>
          </v:shape>
          <o:OLEObject Type="Embed" ProgID="Equation.3" ShapeID="_x0000_i1036" DrawAspect="Content" ObjectID="_1804976291" r:id="rId37"/>
        </w:object>
      </w:r>
    </w:p>
    <w:p w14:paraId="3EF489E6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75" w:dyaOrig="285" w14:anchorId="034EBB0C">
          <v:shape id="_x0000_i1037" type="#_x0000_t75" style="width:33.65pt;height:14.05pt" o:ole="">
            <v:imagedata r:id="rId38" o:title=""/>
          </v:shape>
          <o:OLEObject Type="Embed" ProgID="Equation.3" ShapeID="_x0000_i1037" DrawAspect="Content" ObjectID="_1804976292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65B18A4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2FCD2E7C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3060" w:dyaOrig="2880" w14:anchorId="7E6A628B">
          <v:shape id="_x0000_i1038" type="#_x0000_t75" style="width:152.4pt;height:2in" o:ole="">
            <v:imagedata r:id="rId40" o:title=""/>
          </v:shape>
          <o:OLEObject Type="Embed" ProgID="Equation.3" ShapeID="_x0000_i1038" DrawAspect="Content" ObjectID="_1804976293" r:id="rId41"/>
        </w:object>
      </w:r>
    </w:p>
    <w:p w14:paraId="6D7D1BE4" w14:textId="77777777" w:rsidR="0023016D" w:rsidRPr="00FD60C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265" w:dyaOrig="360" w14:anchorId="52536EA0">
          <v:shape id="_x0000_i1039" type="#_x0000_t75" style="width:113.15pt;height:18.7pt" o:ole="">
            <v:imagedata r:id="rId42" o:title=""/>
          </v:shape>
          <o:OLEObject Type="Embed" ProgID="Equation.3" ShapeID="_x0000_i1039" DrawAspect="Content" ObjectID="_1804976294" r:id="rId43"/>
        </w:object>
      </w:r>
    </w:p>
    <w:p w14:paraId="73A3F9A7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p w14:paraId="74AD775F" w14:textId="77777777" w:rsidR="00FD60CD" w:rsidRDefault="00FD60C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C97385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В задаче о стабилизации перевернутого маятника, решаемой с помощью алгоритма нечеткой логики, основанного на алгоритме нечеткого вывода Мамдани предусматривается, что угол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25" w:dyaOrig="255" w14:anchorId="65C7D1E8">
          <v:shape id="_x0000_i1040" type="#_x0000_t75" style="width:11.2pt;height:13.1pt" o:ole="">
            <v:imagedata r:id="rId44" o:title=""/>
          </v:shape>
          <o:OLEObject Type="Embed" ProgID="Equation.3" ShapeID="_x0000_i1040" DrawAspect="Content" ObjectID="_1804976295" r:id="rId4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отклонения маятника принадлежит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45" w:dyaOrig="360" w14:anchorId="3DCC8CB2">
          <v:shape id="_x0000_i1041" type="#_x0000_t75" style="width:31.8pt;height:18.7pt" o:ole="">
            <v:imagedata r:id="rId46" o:title=""/>
          </v:shape>
          <o:OLEObject Type="Embed" ProgID="Equation.3" ShapeID="_x0000_i1041" DrawAspect="Content" ObjectID="_1804976296" r:id="rId4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6B3E5337">
          <v:shape id="_x0000_i1042" type="#_x0000_t75" style="width:38.35pt;height:15.9pt" o:ole="">
            <v:imagedata r:id="rId48" o:title=""/>
          </v:shape>
          <o:OLEObject Type="Embed" ProgID="Equation.3" ShapeID="_x0000_i1042" DrawAspect="Content" ObjectID="_1804976297" r:id="rId4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495" w:dyaOrig="360" w14:anchorId="510B5AEB">
          <v:shape id="_x0000_i1043" type="#_x0000_t75" style="width:24.3pt;height:18.7pt" o:ole="">
            <v:imagedata r:id="rId50" o:title=""/>
          </v:shape>
          <o:OLEObject Type="Embed" ProgID="Equation.3" ShapeID="_x0000_i1043" DrawAspect="Content" ObjectID="_1804976298" r:id="rId5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65" w:dyaOrig="315" w14:anchorId="3BABBF9D">
          <v:shape id="_x0000_i1044" type="#_x0000_t75" style="width:38.35pt;height:15.9pt" o:ole="">
            <v:imagedata r:id="rId52" o:title=""/>
          </v:shape>
          <o:OLEObject Type="Embed" ProgID="Equation.3" ShapeID="_x0000_i1044" DrawAspect="Content" ObjectID="_1804976299" r:id="rId5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1).</w:t>
      </w:r>
    </w:p>
    <w:p w14:paraId="74618077" w14:textId="77777777" w:rsidR="0023016D" w:rsidRDefault="00603AA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6E2C67F" wp14:editId="04E5D586">
            <wp:extent cx="4752975" cy="2415833"/>
            <wp:effectExtent l="0" t="0" r="0" b="0"/>
            <wp:docPr id="215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415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8A5C8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Рис.1. Графики характеристических функций фаззи-множеств углов </w:t>
      </w:r>
    </w:p>
    <w:p w14:paraId="660D68DC" w14:textId="77777777" w:rsidR="0023016D" w:rsidRDefault="00603AA3" w:rsidP="00FD60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поворота маятника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405" w:dyaOrig="405" w14:anchorId="003D31ED">
          <v:shape id="_x0000_i1045" type="#_x0000_t75" style="width:20.55pt;height:20.55pt" o:ole="">
            <v:imagedata r:id="rId55" o:title=""/>
          </v:shape>
          <o:OLEObject Type="Embed" ProgID="Equation.3" ShapeID="_x0000_i1045" DrawAspect="Content" ObjectID="_1804976300" r:id="rId56"/>
        </w:object>
      </w:r>
    </w:p>
    <w:p w14:paraId="2B7C9F62" w14:textId="77777777" w:rsidR="0023016D" w:rsidRDefault="0023016D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FB35CF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Угловая скорость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40" w:dyaOrig="225" w14:anchorId="46B10612">
          <v:shape id="_x0000_i1046" type="#_x0000_t75" style="width:11.2pt;height:11.2pt" o:ole="">
            <v:imagedata r:id="rId57" o:title=""/>
          </v:shape>
          <o:OLEObject Type="Embed" ProgID="Equation.3" ShapeID="_x0000_i1046" DrawAspect="Content" ObjectID="_1804976301" r:id="rId5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наклона маятника принадлежит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660" w:dyaOrig="360" w14:anchorId="1042CA7E">
          <v:shape id="_x0000_i1047" type="#_x0000_t75" style="width:33.65pt;height:18.7pt" o:ole="">
            <v:imagedata r:id="rId59" o:title=""/>
          </v:shape>
          <o:OLEObject Type="Embed" ProgID="Equation.3" ShapeID="_x0000_i1047" DrawAspect="Content" ObjectID="_1804976302" r:id="rId6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6D5EFF7D">
          <v:shape id="_x0000_i1048" type="#_x0000_t75" style="width:38.35pt;height:15.9pt" o:ole="">
            <v:imagedata r:id="rId61" o:title=""/>
          </v:shape>
          <o:OLEObject Type="Embed" ProgID="Equation.3" ShapeID="_x0000_i1048" DrawAspect="Content" ObjectID="_1804976303" r:id="rId6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525" w:dyaOrig="360" w14:anchorId="707C55B2">
          <v:shape id="_x0000_i1049" type="#_x0000_t75" style="width:26.2pt;height:18.7pt" o:ole="">
            <v:imagedata r:id="rId63" o:title=""/>
          </v:shape>
          <o:OLEObject Type="Embed" ProgID="Equation.3" ShapeID="_x0000_i1049" DrawAspect="Content" ObjectID="_1804976304" r:id="rId6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степенью принадлежности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780" w:dyaOrig="315" w14:anchorId="6CF06E18">
          <v:shape id="_x0000_i1050" type="#_x0000_t75" style="width:38.35pt;height:15.9pt" o:ole="">
            <v:imagedata r:id="rId65" o:title=""/>
          </v:shape>
          <o:OLEObject Type="Embed" ProgID="Equation.3" ShapeID="_x0000_i1050" DrawAspect="Content" ObjectID="_1804976305" r:id="rId6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(см. рис. 2).</w:t>
      </w:r>
    </w:p>
    <w:p w14:paraId="4E4C43C7" w14:textId="77777777" w:rsidR="0023016D" w:rsidRDefault="00603A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EBC863A" wp14:editId="0176547D">
            <wp:extent cx="5743575" cy="2857500"/>
            <wp:effectExtent l="0" t="0" r="0" b="0"/>
            <wp:docPr id="213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85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D1139D" w14:textId="77777777" w:rsidR="0023016D" w:rsidRDefault="00603AA3" w:rsidP="00FD60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Рис.2. Графики характеристических функций фаззи-множеств скоростей    поворота маятника </w:t>
      </w:r>
      <w:r w:rsidRPr="00062697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420" w:dyaOrig="375" w14:anchorId="3393E4BA">
          <v:shape id="_x0000_i1051" type="#_x0000_t75" style="width:21.5pt;height:18.7pt" o:ole="">
            <v:imagedata r:id="rId68" o:title=""/>
          </v:shape>
          <o:OLEObject Type="Embed" ProgID="Equation.3" ShapeID="_x0000_i1051" DrawAspect="Content" ObjectID="_1804976306" r:id="rId69"/>
        </w:object>
      </w:r>
    </w:p>
    <w:p w14:paraId="15EA6493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Опираясь на таблицу нечетких правил, хараткеризующих линейную скорость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240" w:dyaOrig="285" w14:anchorId="4BBA7894">
          <v:shape id="_x0000_i1052" type="#_x0000_t75" style="width:11.2pt;height:14.05pt" o:ole="">
            <v:imagedata r:id="rId70" o:title=""/>
          </v:shape>
          <o:OLEObject Type="Embed" ProgID="Equation.3" ShapeID="_x0000_i1052" DrawAspect="Content" ObjectID="_1804976307" r:id="rId7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(таб. 1) привести набор нечетких правил,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 с требуемыми степенями принадлежности.</w:t>
      </w:r>
    </w:p>
    <w:p w14:paraId="5C211C83" w14:textId="77777777" w:rsidR="0023016D" w:rsidRDefault="00603AA3">
      <w:pPr>
        <w:spacing w:after="0" w:line="36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таблица нечетких правил</w:t>
      </w:r>
    </w:p>
    <w:p w14:paraId="7D4FC7DF" w14:textId="77777777" w:rsidR="0023016D" w:rsidRDefault="00603AA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BB0B645" wp14:editId="554D57D2">
            <wp:extent cx="5819775" cy="3133725"/>
            <wp:effectExtent l="0" t="0" r="0" b="0"/>
            <wp:docPr id="214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B3A0A2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1E2652FA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F49F87E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45" w:dyaOrig="360" w14:anchorId="132EFC91">
          <v:shape id="_x0000_i1053" type="#_x0000_t75" style="width:77.6pt;height:18.7pt" o:ole="">
            <v:imagedata r:id="rId73" o:title=""/>
          </v:shape>
          <o:OLEObject Type="Embed" ProgID="Equation.3" ShapeID="_x0000_i1053" DrawAspect="Content" ObjectID="_1804976308" r:id="rId7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605" w:dyaOrig="360" w14:anchorId="0C9C0206">
          <v:shape id="_x0000_i1054" type="#_x0000_t75" style="width:80.4pt;height:18.7pt" o:ole="">
            <v:imagedata r:id="rId75" o:title=""/>
          </v:shape>
          <o:OLEObject Type="Embed" ProgID="Equation.3" ShapeID="_x0000_i1054" DrawAspect="Content" ObjectID="_1804976309" r:id="rId7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60" w:dyaOrig="360" w14:anchorId="58064E42">
          <v:shape id="_x0000_i1055" type="#_x0000_t75" style="width:78.55pt;height:18.7pt" o:ole="">
            <v:imagedata r:id="rId77" o:title=""/>
          </v:shape>
          <o:OLEObject Type="Embed" ProgID="Equation.3" ShapeID="_x0000_i1055" DrawAspect="Content" ObjectID="_1804976310" r:id="rId7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3CED20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45" w:dyaOrig="360" w14:anchorId="04F52F05">
          <v:shape id="_x0000_i1056" type="#_x0000_t75" style="width:77.6pt;height:18.7pt" o:ole="">
            <v:imagedata r:id="rId73" o:title=""/>
          </v:shape>
          <o:OLEObject Type="Embed" ProgID="Equation.3" ShapeID="_x0000_i1056" DrawAspect="Content" ObjectID="_1804976311" r:id="rId7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85" w:dyaOrig="360" w14:anchorId="4D197BA7">
          <v:shape id="_x0000_i1057" type="#_x0000_t75" style="width:88.85pt;height:18.7pt" o:ole="">
            <v:imagedata r:id="rId80" o:title=""/>
          </v:shape>
          <o:OLEObject Type="Embed" ProgID="Equation.3" ShapeID="_x0000_i1057" DrawAspect="Content" ObjectID="_1804976312" r:id="rId8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65A98F48">
          <v:shape id="_x0000_i1058" type="#_x0000_t75" style="width:86.95pt;height:18.7pt" o:ole="">
            <v:imagedata r:id="rId82" o:title=""/>
          </v:shape>
          <o:OLEObject Type="Embed" ProgID="Equation.3" ShapeID="_x0000_i1058" DrawAspect="Content" ObjectID="_1804976313" r:id="rId8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5CA26D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34EAA04A">
          <v:shape id="_x0000_i1059" type="#_x0000_t75" style="width:86.95pt;height:18.7pt" o:ole="">
            <v:imagedata r:id="rId84" o:title=""/>
          </v:shape>
          <o:OLEObject Type="Embed" ProgID="Equation.3" ShapeID="_x0000_i1059" DrawAspect="Content" ObjectID="_1804976314" r:id="rId8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605" w:dyaOrig="360" w14:anchorId="2813F646">
          <v:shape id="_x0000_i1060" type="#_x0000_t75" style="width:80.4pt;height:18.7pt" o:ole="">
            <v:imagedata r:id="rId75" o:title=""/>
          </v:shape>
          <o:OLEObject Type="Embed" ProgID="Equation.3" ShapeID="_x0000_i1060" DrawAspect="Content" ObjectID="_1804976315" r:id="rId8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20DBA888">
          <v:shape id="_x0000_i1061" type="#_x0000_t75" style="width:86.95pt;height:18.7pt" o:ole="">
            <v:imagedata r:id="rId87" o:title=""/>
          </v:shape>
          <o:OLEObject Type="Embed" ProgID="Equation.3" ShapeID="_x0000_i1061" DrawAspect="Content" ObjectID="_1804976316" r:id="rId8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CCFEC70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ЕСЛИ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40" w:dyaOrig="360" w14:anchorId="25DD3FBA">
          <v:shape id="_x0000_i1062" type="#_x0000_t75" style="width:86.95pt;height:18.7pt" o:ole="">
            <v:imagedata r:id="rId84" o:title=""/>
          </v:shape>
          <o:OLEObject Type="Embed" ProgID="Equation.3" ShapeID="_x0000_i1062" DrawAspect="Content" ObjectID="_1804976317" r:id="rId8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785" w:dyaOrig="360" w14:anchorId="33E27FA3">
          <v:shape id="_x0000_i1063" type="#_x0000_t75" style="width:88.85pt;height:18.7pt" o:ole="">
            <v:imagedata r:id="rId80" o:title=""/>
          </v:shape>
          <o:OLEObject Type="Embed" ProgID="Equation.3" ShapeID="_x0000_i1063" DrawAspect="Content" ObjectID="_1804976318" r:id="rId9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 w:rsidRPr="00FD60CD">
        <w:rPr>
          <w:rFonts w:ascii="Times New Roman" w:eastAsia="Times New Roman" w:hAnsi="Times New Roman" w:cs="Times New Roman"/>
          <w:sz w:val="28"/>
          <w:szCs w:val="28"/>
        </w:rPr>
        <w:object w:dxaOrig="1560" w:dyaOrig="360" w14:anchorId="13476B7B">
          <v:shape id="_x0000_i1064" type="#_x0000_t75" style="width:78.55pt;height:18.7pt" o:ole="">
            <v:imagedata r:id="rId91" o:title=""/>
          </v:shape>
          <o:OLEObject Type="Embed" ProgID="Equation.3" ShapeID="_x0000_i1064" DrawAspect="Content" ObjectID="_1804976319" r:id="rId9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AE7169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7241A095" w14:textId="77777777" w:rsidR="000C4D4F" w:rsidRDefault="000C4D4F" w:rsidP="000C4D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четырех нечетких правил вывода типа ЕСЛИ,…ТО,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вывод.</w:t>
      </w:r>
    </w:p>
    <w:p w14:paraId="5ABA735B" w14:textId="77777777" w:rsidR="0023016D" w:rsidRDefault="00603AA3" w:rsidP="00FD60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ПК-3.1.</w:t>
      </w:r>
    </w:p>
    <w:sectPr w:rsidR="0023016D" w:rsidSect="00062697">
      <w:footerReference w:type="default" r:id="rId93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3251" w14:textId="77777777" w:rsidR="006C0F8C" w:rsidRDefault="006C0F8C" w:rsidP="002555EA">
      <w:pPr>
        <w:spacing w:after="0" w:line="240" w:lineRule="auto"/>
      </w:pPr>
      <w:r>
        <w:separator/>
      </w:r>
    </w:p>
  </w:endnote>
  <w:endnote w:type="continuationSeparator" w:id="0">
    <w:p w14:paraId="1392B649" w14:textId="77777777" w:rsidR="006C0F8C" w:rsidRDefault="006C0F8C" w:rsidP="00255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622371344"/>
      <w:docPartObj>
        <w:docPartGallery w:val="Page Numbers (Bottom of Page)"/>
        <w:docPartUnique/>
      </w:docPartObj>
    </w:sdtPr>
    <w:sdtContent>
      <w:p w14:paraId="503305B5" w14:textId="77777777" w:rsidR="002555EA" w:rsidRPr="002555EA" w:rsidRDefault="00302047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55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555EA" w:rsidRPr="002555E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55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4893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2555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D0537" w14:textId="77777777" w:rsidR="006C0F8C" w:rsidRDefault="006C0F8C" w:rsidP="002555EA">
      <w:pPr>
        <w:spacing w:after="0" w:line="240" w:lineRule="auto"/>
      </w:pPr>
      <w:r>
        <w:separator/>
      </w:r>
    </w:p>
  </w:footnote>
  <w:footnote w:type="continuationSeparator" w:id="0">
    <w:p w14:paraId="00AC52A1" w14:textId="77777777" w:rsidR="006C0F8C" w:rsidRDefault="006C0F8C" w:rsidP="002555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016D"/>
    <w:rsid w:val="00062697"/>
    <w:rsid w:val="000C4D4F"/>
    <w:rsid w:val="0023016D"/>
    <w:rsid w:val="002555EA"/>
    <w:rsid w:val="002A58E1"/>
    <w:rsid w:val="002A7DE6"/>
    <w:rsid w:val="00302047"/>
    <w:rsid w:val="004D19DD"/>
    <w:rsid w:val="00562450"/>
    <w:rsid w:val="005C61B4"/>
    <w:rsid w:val="00603AA3"/>
    <w:rsid w:val="006C0F8C"/>
    <w:rsid w:val="006E4018"/>
    <w:rsid w:val="006F4B29"/>
    <w:rsid w:val="007872EA"/>
    <w:rsid w:val="00884893"/>
    <w:rsid w:val="009A7171"/>
    <w:rsid w:val="00D22B74"/>
    <w:rsid w:val="00E06C53"/>
    <w:rsid w:val="00FD5FDC"/>
    <w:rsid w:val="00FD6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ED8813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EF6"/>
  </w:style>
  <w:style w:type="paragraph" w:styleId="1">
    <w:name w:val="heading 1"/>
    <w:basedOn w:val="a"/>
    <w:next w:val="a"/>
    <w:uiPriority w:val="9"/>
    <w:qFormat/>
    <w:rsid w:val="0006269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6269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6269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269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269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6269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269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6269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077EF6"/>
    <w:pPr>
      <w:ind w:left="720"/>
      <w:contextualSpacing/>
    </w:pPr>
  </w:style>
  <w:style w:type="table" w:styleId="a5">
    <w:name w:val="Table Grid"/>
    <w:basedOn w:val="a1"/>
    <w:uiPriority w:val="59"/>
    <w:rsid w:val="00C15E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3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8FE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uiPriority w:val="11"/>
    <w:qFormat/>
    <w:rsid w:val="0006269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06269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06269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header"/>
    <w:basedOn w:val="a"/>
    <w:link w:val="af3"/>
    <w:uiPriority w:val="99"/>
    <w:unhideWhenUsed/>
    <w:rsid w:val="0025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2555EA"/>
  </w:style>
  <w:style w:type="paragraph" w:styleId="af4">
    <w:name w:val="footer"/>
    <w:basedOn w:val="a"/>
    <w:link w:val="af5"/>
    <w:uiPriority w:val="99"/>
    <w:unhideWhenUsed/>
    <w:rsid w:val="00255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255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11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7.bin"/><Relationship Id="rId63" Type="http://schemas.openxmlformats.org/officeDocument/2006/relationships/image" Target="media/image33.wmf"/><Relationship Id="rId68" Type="http://schemas.openxmlformats.org/officeDocument/2006/relationships/image" Target="media/image36.wmf"/><Relationship Id="rId84" Type="http://schemas.openxmlformats.org/officeDocument/2006/relationships/image" Target="media/image44.wmf"/><Relationship Id="rId89" Type="http://schemas.openxmlformats.org/officeDocument/2006/relationships/oleObject" Target="embeddings/oleObject38.bin"/><Relationship Id="rId16" Type="http://schemas.openxmlformats.org/officeDocument/2006/relationships/oleObject" Target="embeddings/oleObject2.bin"/><Relationship Id="rId11" Type="http://schemas.openxmlformats.org/officeDocument/2006/relationships/image" Target="media/image5.png"/><Relationship Id="rId32" Type="http://schemas.openxmlformats.org/officeDocument/2006/relationships/image" Target="media/image17.wmf"/><Relationship Id="rId37" Type="http://schemas.openxmlformats.org/officeDocument/2006/relationships/oleObject" Target="embeddings/oleObject12.bin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2.bin"/><Relationship Id="rId74" Type="http://schemas.openxmlformats.org/officeDocument/2006/relationships/oleObject" Target="embeddings/oleObject29.bin"/><Relationship Id="rId79" Type="http://schemas.openxmlformats.org/officeDocument/2006/relationships/oleObject" Target="embeddings/oleObject32.bin"/><Relationship Id="rId5" Type="http://schemas.openxmlformats.org/officeDocument/2006/relationships/footnotes" Target="footnotes.xml"/><Relationship Id="rId90" Type="http://schemas.openxmlformats.org/officeDocument/2006/relationships/oleObject" Target="embeddings/oleObject39.bin"/><Relationship Id="rId95" Type="http://schemas.openxmlformats.org/officeDocument/2006/relationships/theme" Target="theme/theme1.xml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43" Type="http://schemas.openxmlformats.org/officeDocument/2006/relationships/oleObject" Target="embeddings/oleObject15.bin"/><Relationship Id="rId48" Type="http://schemas.openxmlformats.org/officeDocument/2006/relationships/image" Target="media/image25.wmf"/><Relationship Id="rId64" Type="http://schemas.openxmlformats.org/officeDocument/2006/relationships/oleObject" Target="embeddings/oleObject25.bin"/><Relationship Id="rId69" Type="http://schemas.openxmlformats.org/officeDocument/2006/relationships/oleObject" Target="embeddings/oleObject27.bin"/><Relationship Id="rId8" Type="http://schemas.openxmlformats.org/officeDocument/2006/relationships/image" Target="media/image2.png"/><Relationship Id="rId51" Type="http://schemas.openxmlformats.org/officeDocument/2006/relationships/oleObject" Target="embeddings/oleObject19.bin"/><Relationship Id="rId72" Type="http://schemas.openxmlformats.org/officeDocument/2006/relationships/image" Target="media/image38.png"/><Relationship Id="rId80" Type="http://schemas.openxmlformats.org/officeDocument/2006/relationships/image" Target="media/image42.wmf"/><Relationship Id="rId85" Type="http://schemas.openxmlformats.org/officeDocument/2006/relationships/oleObject" Target="embeddings/oleObject35.bin"/><Relationship Id="rId93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oleObject" Target="embeddings/oleObject10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image" Target="media/image31.wmf"/><Relationship Id="rId67" Type="http://schemas.openxmlformats.org/officeDocument/2006/relationships/image" Target="media/image35.png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8.png"/><Relationship Id="rId62" Type="http://schemas.openxmlformats.org/officeDocument/2006/relationships/oleObject" Target="embeddings/oleObject24.bin"/><Relationship Id="rId70" Type="http://schemas.openxmlformats.org/officeDocument/2006/relationships/image" Target="media/image37.wmf"/><Relationship Id="rId75" Type="http://schemas.openxmlformats.org/officeDocument/2006/relationships/image" Target="media/image40.wmf"/><Relationship Id="rId83" Type="http://schemas.openxmlformats.org/officeDocument/2006/relationships/oleObject" Target="embeddings/oleObject34.bin"/><Relationship Id="rId88" Type="http://schemas.openxmlformats.org/officeDocument/2006/relationships/oleObject" Target="embeddings/oleObject37.bin"/><Relationship Id="rId91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image" Target="media/image19.wmf"/><Relationship Id="rId49" Type="http://schemas.openxmlformats.org/officeDocument/2006/relationships/oleObject" Target="embeddings/oleObject18.bin"/><Relationship Id="rId57" Type="http://schemas.openxmlformats.org/officeDocument/2006/relationships/image" Target="media/image30.wmf"/><Relationship Id="rId10" Type="http://schemas.openxmlformats.org/officeDocument/2006/relationships/image" Target="media/image4.png"/><Relationship Id="rId31" Type="http://schemas.openxmlformats.org/officeDocument/2006/relationships/oleObject" Target="embeddings/oleObject9.bin"/><Relationship Id="rId44" Type="http://schemas.openxmlformats.org/officeDocument/2006/relationships/image" Target="media/image23.wmf"/><Relationship Id="rId52" Type="http://schemas.openxmlformats.org/officeDocument/2006/relationships/image" Target="media/image27.wmf"/><Relationship Id="rId60" Type="http://schemas.openxmlformats.org/officeDocument/2006/relationships/oleObject" Target="embeddings/oleObject23.bin"/><Relationship Id="rId65" Type="http://schemas.openxmlformats.org/officeDocument/2006/relationships/image" Target="media/image34.wmf"/><Relationship Id="rId73" Type="http://schemas.openxmlformats.org/officeDocument/2006/relationships/image" Target="media/image39.wmf"/><Relationship Id="rId78" Type="http://schemas.openxmlformats.org/officeDocument/2006/relationships/oleObject" Target="embeddings/oleObject31.bin"/><Relationship Id="rId81" Type="http://schemas.openxmlformats.org/officeDocument/2006/relationships/oleObject" Target="embeddings/oleObject33.bin"/><Relationship Id="rId86" Type="http://schemas.openxmlformats.org/officeDocument/2006/relationships/oleObject" Target="embeddings/oleObject36.bin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wmf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image" Target="media/image29.wmf"/><Relationship Id="rId76" Type="http://schemas.openxmlformats.org/officeDocument/2006/relationships/oleObject" Target="embeddings/oleObject30.bin"/><Relationship Id="rId7" Type="http://schemas.openxmlformats.org/officeDocument/2006/relationships/image" Target="media/image1.png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29" Type="http://schemas.openxmlformats.org/officeDocument/2006/relationships/image" Target="media/image15.png"/><Relationship Id="rId24" Type="http://schemas.openxmlformats.org/officeDocument/2006/relationships/oleObject" Target="embeddings/oleObject6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5.wmf"/><Relationship Id="rId61" Type="http://schemas.openxmlformats.org/officeDocument/2006/relationships/image" Target="media/image32.wmf"/><Relationship Id="rId82" Type="http://schemas.openxmlformats.org/officeDocument/2006/relationships/image" Target="media/image43.wmf"/><Relationship Id="rId19" Type="http://schemas.openxmlformats.org/officeDocument/2006/relationships/image" Target="media/image10.wmf"/><Relationship Id="rId14" Type="http://schemas.openxmlformats.org/officeDocument/2006/relationships/oleObject" Target="embeddings/oleObject1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gFIvSH3FCZue+3TrK1JTnpVq+g==">CgMxLjA4AHIhMWlmTDd6VEdGTFdkTjUzRmh6RHNpckFCeUoyUHNBYmJk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9</cp:revision>
  <dcterms:created xsi:type="dcterms:W3CDTF">2025-02-06T10:48:00Z</dcterms:created>
  <dcterms:modified xsi:type="dcterms:W3CDTF">2025-03-31T22:06:00Z</dcterms:modified>
</cp:coreProperties>
</file>